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D605" w14:textId="77777777" w:rsidR="004013A1" w:rsidRDefault="004013A1" w:rsidP="004013A1">
      <w:pPr>
        <w:spacing w:line="480" w:lineRule="auto"/>
        <w:rPr>
          <w:rFonts w:ascii="Times New Roman" w:hAnsi="Times New Roman" w:cs="Times New Roman"/>
        </w:rPr>
      </w:pPr>
      <w:r>
        <w:rPr>
          <w:rFonts w:ascii="Times New Roman" w:hAnsi="Times New Roman" w:cs="Times New Roman"/>
          <w:b/>
        </w:rPr>
        <w:t xml:space="preserve">Online </w:t>
      </w:r>
      <w:r w:rsidRPr="005D0555">
        <w:rPr>
          <w:rFonts w:ascii="Times New Roman" w:hAnsi="Times New Roman" w:cs="Times New Roman"/>
          <w:b/>
        </w:rPr>
        <w:t>Appendix</w:t>
      </w:r>
    </w:p>
    <w:p w14:paraId="1B2E68F7" w14:textId="77777777" w:rsidR="004013A1" w:rsidRDefault="004013A1" w:rsidP="004013A1">
      <w:pPr>
        <w:spacing w:line="480" w:lineRule="auto"/>
        <w:rPr>
          <w:rFonts w:ascii="Times New Roman" w:hAnsi="Times New Roman" w:cs="Times New Roman"/>
          <w:b/>
          <w:i/>
        </w:rPr>
      </w:pPr>
      <w:r w:rsidRPr="002F459C">
        <w:rPr>
          <w:rFonts w:ascii="Times New Roman" w:hAnsi="Times New Roman" w:cs="Times New Roman"/>
        </w:rPr>
        <w:tab/>
        <w:t>The following materials are designed to accompany our article “</w:t>
      </w:r>
      <w:r w:rsidRPr="00C460AD">
        <w:rPr>
          <w:rFonts w:ascii="Times New Roman" w:hAnsi="Times New Roman" w:cs="Times New Roman"/>
        </w:rPr>
        <w:t>Looking for Audience Costs in all the Wrong Places: Electoral Institutions, Media Access and Democratic Constraint.</w:t>
      </w:r>
      <w:r>
        <w:rPr>
          <w:rFonts w:ascii="Times New Roman" w:hAnsi="Times New Roman" w:cs="Times New Roman"/>
        </w:rPr>
        <w:t>”</w:t>
      </w:r>
    </w:p>
    <w:p w14:paraId="5E7D9BD4" w14:textId="77777777" w:rsidR="004013A1" w:rsidRDefault="004013A1" w:rsidP="004013A1">
      <w:pPr>
        <w:rPr>
          <w:rFonts w:ascii="Times New Roman" w:hAnsi="Times New Roman" w:cs="Times New Roman"/>
        </w:rPr>
      </w:pPr>
    </w:p>
    <w:p w14:paraId="13CFF487" w14:textId="77777777" w:rsidR="004013A1" w:rsidRPr="00C460AD" w:rsidRDefault="004013A1" w:rsidP="004013A1">
      <w:pPr>
        <w:rPr>
          <w:rFonts w:ascii="Times New Roman" w:hAnsi="Times New Roman" w:cs="Times New Roman"/>
          <w:b/>
          <w:i/>
        </w:rPr>
      </w:pPr>
      <w:r>
        <w:rPr>
          <w:rFonts w:ascii="Times New Roman" w:hAnsi="Times New Roman" w:cs="Times New Roman"/>
          <w:b/>
          <w:i/>
        </w:rPr>
        <w:t xml:space="preserve">Robustness Check: Multinomial and Ordered </w:t>
      </w:r>
      <w:proofErr w:type="spellStart"/>
      <w:r>
        <w:rPr>
          <w:rFonts w:ascii="Times New Roman" w:hAnsi="Times New Roman" w:cs="Times New Roman"/>
          <w:b/>
          <w:i/>
        </w:rPr>
        <w:t>Logit</w:t>
      </w:r>
      <w:proofErr w:type="spellEnd"/>
    </w:p>
    <w:p w14:paraId="2BE490B9" w14:textId="77777777" w:rsidR="004013A1" w:rsidRPr="009F5D04" w:rsidRDefault="004013A1" w:rsidP="004013A1">
      <w:pPr>
        <w:rPr>
          <w:rFonts w:ascii="Times New Roman" w:hAnsi="Times New Roman" w:cs="Times New Roman"/>
        </w:rPr>
      </w:pPr>
    </w:p>
    <w:p w14:paraId="7A90CD17" w14:textId="77777777" w:rsidR="004013A1" w:rsidRPr="009F5D04" w:rsidRDefault="004013A1" w:rsidP="004013A1">
      <w:pPr>
        <w:spacing w:line="480" w:lineRule="auto"/>
        <w:ind w:right="-180" w:firstLine="720"/>
        <w:rPr>
          <w:rFonts w:ascii="Times New Roman" w:hAnsi="Times New Roman"/>
        </w:rPr>
      </w:pPr>
      <w:r w:rsidRPr="006176A2">
        <w:rPr>
          <w:rFonts w:ascii="Times New Roman" w:hAnsi="Times New Roman" w:cs="Times New Roman"/>
        </w:rPr>
        <w:t xml:space="preserve">To determine whether or to what extent high-level (violent) reciprocation is driving the observed relationship with combined low- and high-level reciprocation indicator, we convert our </w:t>
      </w:r>
      <w:proofErr w:type="gramStart"/>
      <w:r w:rsidRPr="006176A2">
        <w:rPr>
          <w:rFonts w:ascii="Times New Roman" w:hAnsi="Times New Roman" w:cs="Times New Roman"/>
        </w:rPr>
        <w:t>dependent</w:t>
      </w:r>
      <w:proofErr w:type="gramEnd"/>
      <w:r w:rsidRPr="006176A2">
        <w:rPr>
          <w:rFonts w:ascii="Times New Roman" w:hAnsi="Times New Roman" w:cs="Times New Roman"/>
        </w:rPr>
        <w:t xml:space="preserve"> variables into a single scaled variable where 0=not reciprocated, 1=reciprocated with maximum of threat, 2=reciprocated with maximum of force deployment or employment. This change in the dependent variable requires a shift to an estimator that allows for more than two values on the dependent variable. </w:t>
      </w:r>
      <w:r w:rsidRPr="009F5D04">
        <w:rPr>
          <w:rFonts w:ascii="Times New Roman" w:hAnsi="Times New Roman"/>
        </w:rPr>
        <w:t xml:space="preserve">At first glance the reformulation of the dependent variable appears best suited for an ordered </w:t>
      </w:r>
      <w:proofErr w:type="spellStart"/>
      <w:r w:rsidRPr="009F5D04">
        <w:rPr>
          <w:rFonts w:ascii="Times New Roman" w:hAnsi="Times New Roman"/>
        </w:rPr>
        <w:t>logit</w:t>
      </w:r>
      <w:proofErr w:type="spellEnd"/>
      <w:r w:rsidRPr="009F5D04">
        <w:rPr>
          <w:rFonts w:ascii="Times New Roman" w:hAnsi="Times New Roman"/>
        </w:rPr>
        <w:t xml:space="preserve"> analysis. However, reviewing the Tau Beta coefficients and standard errors from this model suggests potential overlap in the first two categories. The implication is that the categories may not be entirely distinct and evenly distributed, which violates an assumption of ordered </w:t>
      </w:r>
      <w:proofErr w:type="spellStart"/>
      <w:r w:rsidRPr="009F5D04">
        <w:rPr>
          <w:rFonts w:ascii="Times New Roman" w:hAnsi="Times New Roman"/>
        </w:rPr>
        <w:t>logit</w:t>
      </w:r>
      <w:proofErr w:type="spellEnd"/>
      <w:r w:rsidRPr="009F5D04">
        <w:rPr>
          <w:rFonts w:ascii="Times New Roman" w:hAnsi="Times New Roman"/>
        </w:rPr>
        <w:t xml:space="preserve">. Consequently, we also present a second analysis employing unordered multinomial </w:t>
      </w:r>
      <w:proofErr w:type="spellStart"/>
      <w:r w:rsidRPr="009F5D04">
        <w:rPr>
          <w:rFonts w:ascii="Times New Roman" w:hAnsi="Times New Roman"/>
        </w:rPr>
        <w:t>logit</w:t>
      </w:r>
      <w:proofErr w:type="spellEnd"/>
      <w:r w:rsidRPr="009F5D04">
        <w:rPr>
          <w:rFonts w:ascii="Times New Roman" w:hAnsi="Times New Roman"/>
        </w:rPr>
        <w:t xml:space="preserve">. The latter estimator has the benefit of relaxing the assumption of an ordered, evenly distributed scale. </w:t>
      </w:r>
      <w:r>
        <w:rPr>
          <w:rFonts w:ascii="Times New Roman" w:hAnsi="Times New Roman"/>
        </w:rPr>
        <w:t xml:space="preserve">Appendix </w:t>
      </w:r>
      <w:r w:rsidRPr="009F5D04">
        <w:rPr>
          <w:rFonts w:ascii="Times New Roman" w:hAnsi="Times New Roman"/>
        </w:rPr>
        <w:t xml:space="preserve">Table </w:t>
      </w:r>
      <w:r>
        <w:rPr>
          <w:rFonts w:ascii="Times New Roman" w:hAnsi="Times New Roman"/>
        </w:rPr>
        <w:t>1</w:t>
      </w:r>
      <w:r w:rsidRPr="009F5D04">
        <w:rPr>
          <w:rFonts w:ascii="Times New Roman" w:hAnsi="Times New Roman"/>
        </w:rPr>
        <w:t xml:space="preserve"> presents the results from both models.</w:t>
      </w:r>
    </w:p>
    <w:p w14:paraId="2018DAED" w14:textId="77777777" w:rsidR="004013A1" w:rsidRPr="009F5D04" w:rsidRDefault="004013A1" w:rsidP="004013A1">
      <w:pPr>
        <w:spacing w:line="480" w:lineRule="auto"/>
        <w:jc w:val="center"/>
        <w:rPr>
          <w:rFonts w:ascii="Times New Roman" w:hAnsi="Times New Roman"/>
        </w:rPr>
      </w:pPr>
      <w:r w:rsidRPr="009F5D04">
        <w:rPr>
          <w:rFonts w:ascii="Times New Roman" w:hAnsi="Times New Roman"/>
        </w:rPr>
        <w:t>[</w:t>
      </w:r>
      <w:r>
        <w:rPr>
          <w:rFonts w:ascii="Times New Roman" w:hAnsi="Times New Roman"/>
        </w:rPr>
        <w:t xml:space="preserve">Appendix </w:t>
      </w:r>
      <w:r w:rsidRPr="009F5D04">
        <w:rPr>
          <w:rFonts w:ascii="Times New Roman" w:hAnsi="Times New Roman"/>
        </w:rPr>
        <w:t xml:space="preserve">Table </w:t>
      </w:r>
      <w:r>
        <w:rPr>
          <w:rFonts w:ascii="Times New Roman" w:hAnsi="Times New Roman"/>
        </w:rPr>
        <w:t>1</w:t>
      </w:r>
      <w:r w:rsidRPr="009F5D04">
        <w:rPr>
          <w:rFonts w:ascii="Times New Roman" w:hAnsi="Times New Roman"/>
        </w:rPr>
        <w:t xml:space="preserve"> here]</w:t>
      </w:r>
    </w:p>
    <w:p w14:paraId="74937B67" w14:textId="77777777" w:rsidR="004013A1" w:rsidRPr="009F5D04" w:rsidRDefault="004013A1" w:rsidP="004013A1">
      <w:pPr>
        <w:spacing w:line="480" w:lineRule="auto"/>
        <w:ind w:firstLine="720"/>
        <w:rPr>
          <w:rFonts w:ascii="Times New Roman" w:hAnsi="Times New Roman"/>
        </w:rPr>
      </w:pPr>
      <w:r w:rsidRPr="009F5D04">
        <w:rPr>
          <w:rFonts w:ascii="Times New Roman" w:hAnsi="Times New Roman"/>
        </w:rPr>
        <w:t xml:space="preserve">In </w:t>
      </w:r>
      <w:r>
        <w:rPr>
          <w:rFonts w:ascii="Times New Roman" w:hAnsi="Times New Roman"/>
        </w:rPr>
        <w:t>Appendix Figure 1</w:t>
      </w:r>
      <w:r w:rsidRPr="009F5D04">
        <w:rPr>
          <w:rFonts w:ascii="Times New Roman" w:hAnsi="Times New Roman"/>
        </w:rPr>
        <w:t xml:space="preserve"> we separately plot the probabilities of non-reciprocation, non-violent reciprocation, and violent reciprocation for the ordered (top 3 charts) and unordered multinomial (bottom 3 charts) </w:t>
      </w:r>
      <w:proofErr w:type="spellStart"/>
      <w:r w:rsidRPr="009F5D04">
        <w:rPr>
          <w:rFonts w:ascii="Times New Roman" w:hAnsi="Times New Roman"/>
        </w:rPr>
        <w:t>logit</w:t>
      </w:r>
      <w:proofErr w:type="spellEnd"/>
      <w:r w:rsidRPr="009F5D04">
        <w:rPr>
          <w:rFonts w:ascii="Times New Roman" w:hAnsi="Times New Roman"/>
        </w:rPr>
        <w:t xml:space="preserve"> models, respectively. </w:t>
      </w:r>
    </w:p>
    <w:p w14:paraId="58F21F4B" w14:textId="77777777" w:rsidR="004013A1" w:rsidRPr="009F5D04" w:rsidRDefault="004013A1" w:rsidP="004013A1">
      <w:pPr>
        <w:spacing w:line="480" w:lineRule="auto"/>
        <w:jc w:val="center"/>
        <w:rPr>
          <w:rFonts w:ascii="Times New Roman" w:hAnsi="Times New Roman"/>
        </w:rPr>
      </w:pPr>
      <w:r w:rsidRPr="009F5D04">
        <w:rPr>
          <w:rFonts w:ascii="Times New Roman" w:hAnsi="Times New Roman"/>
        </w:rPr>
        <w:t>[</w:t>
      </w:r>
      <w:r>
        <w:rPr>
          <w:rFonts w:ascii="Times New Roman" w:hAnsi="Times New Roman"/>
        </w:rPr>
        <w:t xml:space="preserve">Appendix </w:t>
      </w:r>
      <w:r w:rsidRPr="009F5D04">
        <w:rPr>
          <w:rFonts w:ascii="Times New Roman" w:hAnsi="Times New Roman"/>
        </w:rPr>
        <w:t xml:space="preserve">Figure </w:t>
      </w:r>
      <w:r>
        <w:rPr>
          <w:rFonts w:ascii="Times New Roman" w:hAnsi="Times New Roman"/>
        </w:rPr>
        <w:t>1</w:t>
      </w:r>
      <w:r w:rsidRPr="009F5D04">
        <w:rPr>
          <w:rFonts w:ascii="Times New Roman" w:hAnsi="Times New Roman"/>
        </w:rPr>
        <w:t>]</w:t>
      </w:r>
    </w:p>
    <w:p w14:paraId="5BA76A45" w14:textId="77777777" w:rsidR="004013A1" w:rsidRPr="009F5D04" w:rsidRDefault="004013A1" w:rsidP="004013A1">
      <w:pPr>
        <w:spacing w:line="480" w:lineRule="auto"/>
        <w:ind w:firstLine="720"/>
        <w:rPr>
          <w:rFonts w:ascii="Times New Roman" w:hAnsi="Times New Roman"/>
        </w:rPr>
      </w:pPr>
      <w:r w:rsidRPr="009F5D04">
        <w:rPr>
          <w:rFonts w:ascii="Times New Roman" w:hAnsi="Times New Roman"/>
        </w:rPr>
        <w:t xml:space="preserve">The results in </w:t>
      </w:r>
      <w:r>
        <w:rPr>
          <w:rFonts w:ascii="Times New Roman" w:hAnsi="Times New Roman"/>
        </w:rPr>
        <w:t xml:space="preserve">Appendix </w:t>
      </w:r>
      <w:r w:rsidRPr="009F5D04">
        <w:rPr>
          <w:rFonts w:ascii="Times New Roman" w:hAnsi="Times New Roman"/>
        </w:rPr>
        <w:t xml:space="preserve">Figure </w:t>
      </w:r>
      <w:r>
        <w:rPr>
          <w:rFonts w:ascii="Times New Roman" w:hAnsi="Times New Roman"/>
        </w:rPr>
        <w:t>1</w:t>
      </w:r>
      <w:r w:rsidRPr="009F5D04">
        <w:rPr>
          <w:rFonts w:ascii="Times New Roman" w:hAnsi="Times New Roman"/>
        </w:rPr>
        <w:t xml:space="preserve"> essentially replicate those from our prior analyses, in that variations in TV access have a large and statistically significant effect, in the predicted </w:t>
      </w:r>
      <w:r w:rsidRPr="009F5D04">
        <w:rPr>
          <w:rFonts w:ascii="Times New Roman" w:hAnsi="Times New Roman"/>
        </w:rPr>
        <w:lastRenderedPageBreak/>
        <w:t xml:space="preserve">directions, in high-party states but not in low-party states. Interestingly, however, both models represented in the Figure suggest that, as anticipated, the effects of variations in media access are greater for the movement from non-reciprocation to violent reciprocation than for movement from non-reciprocation to non-violent reciprocation.  Though this is evident in both models, it is particularly so in the unordered multinomial </w:t>
      </w:r>
      <w:proofErr w:type="spellStart"/>
      <w:r w:rsidRPr="009F5D04">
        <w:rPr>
          <w:rFonts w:ascii="Times New Roman" w:hAnsi="Times New Roman"/>
        </w:rPr>
        <w:t>logit</w:t>
      </w:r>
      <w:proofErr w:type="spellEnd"/>
      <w:r w:rsidRPr="009F5D04">
        <w:rPr>
          <w:rFonts w:ascii="Times New Roman" w:hAnsi="Times New Roman"/>
        </w:rPr>
        <w:t xml:space="preserve">, where the probability of low-level reciprocation varies hardly at all with TV access. The effect is somewhat larger and statistically significant in the ordered </w:t>
      </w:r>
      <w:proofErr w:type="spellStart"/>
      <w:r w:rsidRPr="009F5D04">
        <w:rPr>
          <w:rFonts w:ascii="Times New Roman" w:hAnsi="Times New Roman"/>
        </w:rPr>
        <w:t>logit</w:t>
      </w:r>
      <w:proofErr w:type="spellEnd"/>
      <w:r w:rsidRPr="009F5D04">
        <w:rPr>
          <w:rFonts w:ascii="Times New Roman" w:hAnsi="Times New Roman"/>
        </w:rPr>
        <w:t xml:space="preserve"> model, though still substantially more modest than with respect to violent reciprocation. </w:t>
      </w:r>
    </w:p>
    <w:p w14:paraId="40A4B3BB" w14:textId="77777777" w:rsidR="004013A1" w:rsidRDefault="004013A1" w:rsidP="004013A1">
      <w:pPr>
        <w:spacing w:line="480" w:lineRule="auto"/>
        <w:ind w:firstLine="720"/>
        <w:rPr>
          <w:rFonts w:ascii="Times New Roman" w:hAnsi="Times New Roman"/>
        </w:rPr>
      </w:pPr>
      <w:r w:rsidRPr="009F5D04">
        <w:rPr>
          <w:rFonts w:ascii="Times New Roman" w:hAnsi="Times New Roman"/>
        </w:rPr>
        <w:t>This distinction is not evident in the dichotomous specifications, presumably because the “all reciprocation” dependent variable treats both violent and non-violent reciprocation as a positive occurrence. Hence, as expected, these alternative models suggest that the interaction of party systems and media access matters more for violent than for non-violent reciprocation, with the strongest constraining effect apparent with respect to the latter, more serious types of disputes initiated by high-party systems with high media access.</w:t>
      </w:r>
    </w:p>
    <w:p w14:paraId="098FDE89" w14:textId="77777777" w:rsidR="004013A1" w:rsidRDefault="004013A1" w:rsidP="004013A1">
      <w:pPr>
        <w:rPr>
          <w:rFonts w:ascii="Times New Roman" w:hAnsi="Times New Roman"/>
        </w:rPr>
      </w:pPr>
    </w:p>
    <w:p w14:paraId="6F58D9D3" w14:textId="77777777" w:rsidR="004013A1" w:rsidRPr="005A446D" w:rsidRDefault="004013A1" w:rsidP="004013A1">
      <w:pPr>
        <w:spacing w:line="480" w:lineRule="auto"/>
        <w:rPr>
          <w:rFonts w:ascii="Times New Roman" w:hAnsi="Times New Roman"/>
          <w:b/>
          <w:i/>
        </w:rPr>
      </w:pPr>
      <w:r>
        <w:rPr>
          <w:rFonts w:ascii="Times New Roman" w:hAnsi="Times New Roman"/>
          <w:b/>
          <w:i/>
        </w:rPr>
        <w:t>Robustness Check: Measuring Opposition</w:t>
      </w:r>
    </w:p>
    <w:p w14:paraId="3EA96C5D" w14:textId="77777777" w:rsidR="004013A1" w:rsidRPr="004D4FD7" w:rsidDel="00037889" w:rsidRDefault="004013A1" w:rsidP="004013A1">
      <w:pPr>
        <w:spacing w:line="480" w:lineRule="auto"/>
        <w:rPr>
          <w:rFonts w:ascii="Times New Roman" w:hAnsi="Times New Roman" w:cs="Times New Roman"/>
        </w:rPr>
      </w:pPr>
      <w:r>
        <w:rPr>
          <w:rFonts w:ascii="Times New Roman" w:hAnsi="Times New Roman" w:cs="Times New Roman"/>
        </w:rPr>
        <w:tab/>
        <w:t>T</w:t>
      </w:r>
      <w:r w:rsidRPr="001E36DA">
        <w:rPr>
          <w:rFonts w:ascii="Times New Roman" w:hAnsi="Times New Roman" w:cs="Times New Roman"/>
        </w:rPr>
        <w:t xml:space="preserve">o further </w:t>
      </w:r>
      <w:r>
        <w:rPr>
          <w:rFonts w:ascii="Times New Roman" w:hAnsi="Times New Roman" w:cs="Times New Roman"/>
        </w:rPr>
        <w:t>establish</w:t>
      </w:r>
      <w:r w:rsidRPr="001E36DA">
        <w:rPr>
          <w:rFonts w:ascii="Times New Roman" w:hAnsi="Times New Roman" w:cs="Times New Roman"/>
        </w:rPr>
        <w:t xml:space="preserve"> the robustness of our findings we introduce </w:t>
      </w:r>
      <w:proofErr w:type="gramStart"/>
      <w:r>
        <w:rPr>
          <w:rFonts w:ascii="Times New Roman" w:hAnsi="Times New Roman" w:cs="Times New Roman"/>
        </w:rPr>
        <w:t>an alternative</w:t>
      </w:r>
      <w:proofErr w:type="gramEnd"/>
      <w:r>
        <w:rPr>
          <w:rFonts w:ascii="Times New Roman" w:hAnsi="Times New Roman" w:cs="Times New Roman"/>
        </w:rPr>
        <w:t xml:space="preserve"> </w:t>
      </w:r>
      <w:proofErr w:type="spellStart"/>
      <w:r w:rsidRPr="008A1DA4">
        <w:rPr>
          <w:rFonts w:ascii="Times New Roman" w:hAnsi="Times New Roman" w:cs="Times New Roman"/>
        </w:rPr>
        <w:t>operationalizations</w:t>
      </w:r>
      <w:proofErr w:type="spellEnd"/>
      <w:r w:rsidRPr="008A1DA4">
        <w:rPr>
          <w:rFonts w:ascii="Times New Roman" w:hAnsi="Times New Roman" w:cs="Times New Roman"/>
        </w:rPr>
        <w:t xml:space="preserve"> of the number of </w:t>
      </w:r>
      <w:r>
        <w:rPr>
          <w:rFonts w:ascii="Times New Roman" w:hAnsi="Times New Roman" w:cs="Times New Roman"/>
        </w:rPr>
        <w:t xml:space="preserve">opposition </w:t>
      </w:r>
      <w:r w:rsidRPr="008A1DA4">
        <w:rPr>
          <w:rFonts w:ascii="Times New Roman" w:hAnsi="Times New Roman" w:cs="Times New Roman"/>
        </w:rPr>
        <w:t>parties</w:t>
      </w:r>
      <w:r>
        <w:rPr>
          <w:rFonts w:ascii="Times New Roman" w:hAnsi="Times New Roman" w:cs="Times New Roman"/>
        </w:rPr>
        <w:t>. To accomplish this,</w:t>
      </w:r>
      <w:r w:rsidDel="00037889">
        <w:rPr>
          <w:rFonts w:ascii="Times New Roman" w:hAnsi="Times New Roman" w:cs="Times New Roman"/>
        </w:rPr>
        <w:t xml:space="preserve"> we turn to </w:t>
      </w:r>
      <w:proofErr w:type="spellStart"/>
      <w:r w:rsidRPr="004D4FD7" w:rsidDel="00037889">
        <w:rPr>
          <w:rFonts w:ascii="Times New Roman" w:hAnsi="Times New Roman" w:cs="Times New Roman"/>
        </w:rPr>
        <w:t>Golder’s</w:t>
      </w:r>
      <w:proofErr w:type="spellEnd"/>
      <w:r w:rsidRPr="004D4FD7" w:rsidDel="00037889">
        <w:rPr>
          <w:rFonts w:ascii="Times New Roman" w:hAnsi="Times New Roman" w:cs="Times New Roman"/>
        </w:rPr>
        <w:t xml:space="preserve"> measure </w:t>
      </w:r>
      <w:r w:rsidDel="00037889">
        <w:rPr>
          <w:rFonts w:ascii="Times New Roman" w:hAnsi="Times New Roman" w:cs="Times New Roman"/>
        </w:rPr>
        <w:t xml:space="preserve">of </w:t>
      </w:r>
      <w:r w:rsidRPr="004D4FD7" w:rsidDel="00037889">
        <w:rPr>
          <w:rFonts w:ascii="Times New Roman" w:hAnsi="Times New Roman" w:cs="Times New Roman"/>
        </w:rPr>
        <w:t xml:space="preserve">ENEP, representing the expected number of </w:t>
      </w:r>
      <w:r w:rsidRPr="004D4FD7" w:rsidDel="00037889">
        <w:rPr>
          <w:rFonts w:ascii="Times New Roman" w:hAnsi="Times New Roman" w:cs="Times New Roman"/>
          <w:i/>
        </w:rPr>
        <w:t>electoral</w:t>
      </w:r>
      <w:r w:rsidRPr="004D4FD7" w:rsidDel="00037889">
        <w:rPr>
          <w:rFonts w:ascii="Times New Roman" w:hAnsi="Times New Roman" w:cs="Times New Roman"/>
        </w:rPr>
        <w:t xml:space="preserve"> parties.  </w:t>
      </w:r>
      <w:proofErr w:type="spellStart"/>
      <w:r w:rsidRPr="004D4FD7" w:rsidDel="00037889">
        <w:rPr>
          <w:rFonts w:ascii="Times New Roman" w:hAnsi="Times New Roman" w:cs="Times New Roman"/>
        </w:rPr>
        <w:t>Golder</w:t>
      </w:r>
      <w:proofErr w:type="spellEnd"/>
      <w:r w:rsidRPr="004D4FD7" w:rsidDel="00037889">
        <w:rPr>
          <w:rFonts w:ascii="Times New Roman" w:hAnsi="Times New Roman" w:cs="Times New Roman"/>
        </w:rPr>
        <w:t xml:space="preserve"> (2</w:t>
      </w:r>
      <w:r w:rsidDel="00037889">
        <w:rPr>
          <w:rFonts w:ascii="Times New Roman" w:hAnsi="Times New Roman" w:cs="Times New Roman"/>
        </w:rPr>
        <w:t>0</w:t>
      </w:r>
      <w:r w:rsidRPr="004D4FD7" w:rsidDel="00037889">
        <w:rPr>
          <w:rFonts w:ascii="Times New Roman" w:hAnsi="Times New Roman" w:cs="Times New Roman"/>
        </w:rPr>
        <w:t xml:space="preserve">05) defines ENEP, in turn, with the following formula, </w:t>
      </w:r>
      <w:r w:rsidDel="00037889">
        <w:rPr>
          <w:rFonts w:ascii="Times New Roman" w:hAnsi="Times New Roman" w:cs="Times New Roman"/>
        </w:rPr>
        <w:t xml:space="preserve">which like the measure of ENPP is </w:t>
      </w:r>
      <w:r w:rsidRPr="004D4FD7" w:rsidDel="00037889">
        <w:rPr>
          <w:rFonts w:ascii="Times New Roman" w:hAnsi="Times New Roman" w:cs="Times New Roman"/>
        </w:rPr>
        <w:t xml:space="preserve">taken from </w:t>
      </w:r>
      <w:proofErr w:type="spellStart"/>
      <w:r w:rsidRPr="004D4FD7" w:rsidDel="00037889">
        <w:rPr>
          <w:rFonts w:ascii="Times New Roman" w:hAnsi="Times New Roman" w:cs="Times New Roman"/>
        </w:rPr>
        <w:t>Laakso</w:t>
      </w:r>
      <w:proofErr w:type="spellEnd"/>
      <w:r w:rsidRPr="004D4FD7" w:rsidDel="00037889">
        <w:rPr>
          <w:rFonts w:ascii="Times New Roman" w:hAnsi="Times New Roman" w:cs="Times New Roman"/>
        </w:rPr>
        <w:t xml:space="preserve"> and </w:t>
      </w:r>
      <w:proofErr w:type="spellStart"/>
      <w:r w:rsidRPr="004D4FD7" w:rsidDel="00037889">
        <w:rPr>
          <w:rFonts w:ascii="Times New Roman" w:hAnsi="Times New Roman" w:cs="Times New Roman"/>
        </w:rPr>
        <w:t>Taagepera</w:t>
      </w:r>
      <w:proofErr w:type="spellEnd"/>
      <w:r w:rsidRPr="004D4FD7" w:rsidDel="00037889">
        <w:rPr>
          <w:rFonts w:ascii="Times New Roman" w:hAnsi="Times New Roman" w:cs="Times New Roman"/>
        </w:rPr>
        <w:t xml:space="preserve"> (1979):</w:t>
      </w:r>
    </w:p>
    <w:p w14:paraId="04AEF73E" w14:textId="77777777" w:rsidR="004013A1" w:rsidRPr="004D4FD7" w:rsidDel="00037889" w:rsidRDefault="00D20E74" w:rsidP="004013A1">
      <w:pPr>
        <w:spacing w:line="480" w:lineRule="auto"/>
        <w:rPr>
          <w:rFonts w:ascii="Times New Roman" w:hAnsi="Times New Roman" w:cs="Times New Roman"/>
        </w:rPr>
      </w:pPr>
      <m:oMathPara>
        <m:oMathParaPr>
          <m:jc m:val="center"/>
        </m:oMathParaPr>
        <m:oMath>
          <m:f>
            <m:fPr>
              <m:ctrlPr>
                <w:rPr>
                  <w:rFonts w:ascii="Cambria Math" w:hAnsi="Cambria Math" w:cs="Times New Roman"/>
                  <w:i/>
                </w:rPr>
              </m:ctrlPr>
            </m:fPr>
            <m:num>
              <m:r>
                <w:rPr>
                  <w:rFonts w:ascii="Cambria Math" w:hAnsi="Cambria Math" w:cs="Times New Roman"/>
                </w:rPr>
                <m:t>1</m:t>
              </m:r>
            </m:num>
            <m:den>
              <m:r>
                <m:rPr>
                  <m:sty m:val="p"/>
                </m:rPr>
                <w:rPr>
                  <w:rFonts w:ascii="Cambria Math" w:hAnsi="Cambria Math" w:cs="Times New Roman"/>
                </w:rPr>
                <m:t>Σ</m:t>
              </m:r>
              <m:sSubSup>
                <m:sSubSupPr>
                  <m:ctrlPr>
                    <w:rPr>
                      <w:rFonts w:ascii="Cambria Math" w:hAnsi="Cambria Math" w:cs="Times New Roman"/>
                    </w:rPr>
                  </m:ctrlPr>
                </m:sSubSupPr>
                <m:e>
                  <m:r>
                    <w:rPr>
                      <w:rFonts w:ascii="Cambria Math" w:hAnsi="Cambria Math" w:cs="Times New Roman"/>
                    </w:rPr>
                    <m:t>v</m:t>
                  </m:r>
                </m:e>
                <m:sub>
                  <m:r>
                    <w:rPr>
                      <w:rFonts w:ascii="Cambria Math" w:hAnsi="Cambria Math" w:cs="Times New Roman"/>
                    </w:rPr>
                    <m:t>i</m:t>
                  </m:r>
                </m:sub>
                <m:sup>
                  <m:r>
                    <w:rPr>
                      <w:rFonts w:ascii="Cambria Math" w:hAnsi="Cambria Math" w:cs="Times New Roman"/>
                    </w:rPr>
                    <m:t>2</m:t>
                  </m:r>
                </m:sup>
              </m:sSubSup>
            </m:den>
          </m:f>
        </m:oMath>
      </m:oMathPara>
    </w:p>
    <w:p w14:paraId="474FB5A1" w14:textId="77777777" w:rsidR="004013A1" w:rsidRDefault="004013A1" w:rsidP="004013A1">
      <w:pPr>
        <w:spacing w:line="480" w:lineRule="auto"/>
        <w:rPr>
          <w:rFonts w:ascii="Times New Roman" w:hAnsi="Times New Roman" w:cs="Times New Roman"/>
        </w:rPr>
      </w:pPr>
      <w:proofErr w:type="gramStart"/>
      <w:r w:rsidRPr="004D4FD7" w:rsidDel="00037889">
        <w:rPr>
          <w:rFonts w:ascii="Times New Roman" w:hAnsi="Times New Roman" w:cs="Times New Roman"/>
        </w:rPr>
        <w:t>where</w:t>
      </w:r>
      <w:proofErr w:type="gramEnd"/>
      <w:r w:rsidRPr="004D4FD7" w:rsidDel="00037889">
        <w:rPr>
          <w:rFonts w:ascii="Times New Roman" w:hAnsi="Times New Roman" w:cs="Times New Roman"/>
        </w:rPr>
        <w:t xml:space="preserve"> </w:t>
      </w:r>
      <w:r w:rsidRPr="004D4FD7" w:rsidDel="00037889">
        <w:rPr>
          <w:rFonts w:ascii="Times New Roman" w:hAnsi="Times New Roman" w:cs="Times New Roman"/>
          <w:i/>
          <w:iCs/>
        </w:rPr>
        <w:t xml:space="preserve">vi </w:t>
      </w:r>
      <w:r w:rsidRPr="004D4FD7" w:rsidDel="00037889">
        <w:rPr>
          <w:rFonts w:ascii="Times New Roman" w:hAnsi="Times New Roman" w:cs="Times New Roman"/>
        </w:rPr>
        <w:t xml:space="preserve">is the percentage of </w:t>
      </w:r>
      <w:r>
        <w:rPr>
          <w:rFonts w:ascii="Times New Roman" w:hAnsi="Times New Roman" w:cs="Times New Roman"/>
        </w:rPr>
        <w:t>votes</w:t>
      </w:r>
      <w:r w:rsidRPr="004D4FD7" w:rsidDel="00037889">
        <w:rPr>
          <w:rFonts w:ascii="Times New Roman" w:hAnsi="Times New Roman" w:cs="Times New Roman"/>
        </w:rPr>
        <w:t xml:space="preserve"> won by the </w:t>
      </w:r>
      <w:proofErr w:type="spellStart"/>
      <w:r w:rsidRPr="004D4FD7" w:rsidDel="00037889">
        <w:rPr>
          <w:rFonts w:ascii="Times New Roman" w:hAnsi="Times New Roman" w:cs="Times New Roman"/>
          <w:i/>
          <w:iCs/>
        </w:rPr>
        <w:t>ith</w:t>
      </w:r>
      <w:proofErr w:type="spellEnd"/>
      <w:r w:rsidRPr="004D4FD7" w:rsidDel="00037889">
        <w:rPr>
          <w:rFonts w:ascii="Times New Roman" w:hAnsi="Times New Roman" w:cs="Times New Roman"/>
          <w:i/>
          <w:iCs/>
        </w:rPr>
        <w:t xml:space="preserve"> </w:t>
      </w:r>
      <w:r w:rsidRPr="004D4FD7" w:rsidDel="00037889">
        <w:rPr>
          <w:rFonts w:ascii="Times New Roman" w:hAnsi="Times New Roman" w:cs="Times New Roman"/>
        </w:rPr>
        <w:t>party, with Independents or “others” coded as a</w:t>
      </w:r>
      <w:r w:rsidDel="00037889">
        <w:rPr>
          <w:rFonts w:ascii="Times New Roman" w:hAnsi="Times New Roman" w:cs="Times New Roman"/>
        </w:rPr>
        <w:t xml:space="preserve"> </w:t>
      </w:r>
      <w:r w:rsidRPr="004D4FD7" w:rsidDel="00037889">
        <w:rPr>
          <w:rFonts w:ascii="Times New Roman" w:hAnsi="Times New Roman" w:cs="Times New Roman"/>
        </w:rPr>
        <w:t>single party.  The difference between ENPP and ENEP stems from the fact that not every party that competes in a given election wins a sufficient vote share to gain seats in the parliament. ENPP only takes into account those parties that win seats, which itself depends on electoral rules translating votes into seats. These, in turn, vary widely acros</w:t>
      </w:r>
      <w:r w:rsidRPr="008676FB" w:rsidDel="00037889">
        <w:rPr>
          <w:rFonts w:ascii="Times New Roman" w:hAnsi="Times New Roman" w:cs="Times New Roman"/>
        </w:rPr>
        <w:t xml:space="preserve">s countries.  We believe ENPP, because it discounts small, outlier parties with no meaningful chance of winning seats or a place in a coalition government, is the better indicator. Nonetheless, because this is an uncertain judgment, </w:t>
      </w:r>
      <w:r>
        <w:rPr>
          <w:rFonts w:ascii="Times New Roman" w:hAnsi="Times New Roman" w:cs="Times New Roman"/>
        </w:rPr>
        <w:t xml:space="preserve">in Appendix Table 2 </w:t>
      </w:r>
      <w:r w:rsidRPr="008676FB" w:rsidDel="00037889">
        <w:rPr>
          <w:rFonts w:ascii="Times New Roman" w:hAnsi="Times New Roman" w:cs="Times New Roman"/>
        </w:rPr>
        <w:t>we replicate our findings using ENEP.</w:t>
      </w:r>
    </w:p>
    <w:p w14:paraId="57F7AC7E" w14:textId="77777777" w:rsidR="004013A1" w:rsidRPr="008676FB" w:rsidDel="00037889" w:rsidRDefault="004013A1" w:rsidP="004013A1">
      <w:pPr>
        <w:spacing w:line="480" w:lineRule="auto"/>
        <w:jc w:val="center"/>
        <w:rPr>
          <w:rFonts w:ascii="Times New Roman" w:hAnsi="Times New Roman" w:cs="Times New Roman"/>
        </w:rPr>
      </w:pPr>
      <w:r w:rsidRPr="008676FB" w:rsidDel="00037889">
        <w:rPr>
          <w:rFonts w:ascii="Times New Roman" w:hAnsi="Times New Roman" w:cs="Times New Roman"/>
        </w:rPr>
        <w:t>[</w:t>
      </w:r>
      <w:r>
        <w:rPr>
          <w:rFonts w:ascii="Times New Roman" w:hAnsi="Times New Roman" w:cs="Times New Roman"/>
        </w:rPr>
        <w:t>Appendix Table</w:t>
      </w:r>
      <w:r w:rsidRPr="008676FB" w:rsidDel="00037889">
        <w:rPr>
          <w:rFonts w:ascii="Times New Roman" w:hAnsi="Times New Roman" w:cs="Times New Roman"/>
        </w:rPr>
        <w:t xml:space="preserve"> </w:t>
      </w:r>
      <w:r>
        <w:rPr>
          <w:rFonts w:ascii="Times New Roman" w:hAnsi="Times New Roman" w:cs="Times New Roman"/>
        </w:rPr>
        <w:t>2</w:t>
      </w:r>
      <w:r w:rsidRPr="008676FB" w:rsidDel="00037889">
        <w:rPr>
          <w:rFonts w:ascii="Times New Roman" w:hAnsi="Times New Roman" w:cs="Times New Roman"/>
        </w:rPr>
        <w:t xml:space="preserve"> here] </w:t>
      </w:r>
    </w:p>
    <w:p w14:paraId="53A130CB" w14:textId="77777777" w:rsidR="004013A1" w:rsidRPr="008676FB" w:rsidDel="00037889" w:rsidRDefault="004013A1" w:rsidP="004013A1">
      <w:pPr>
        <w:spacing w:line="480" w:lineRule="auto"/>
        <w:rPr>
          <w:rFonts w:ascii="Times New Roman" w:hAnsi="Times New Roman" w:cs="Times New Roman"/>
        </w:rPr>
      </w:pPr>
      <w:r w:rsidRPr="008676FB" w:rsidDel="00037889">
        <w:rPr>
          <w:rFonts w:ascii="Times New Roman" w:hAnsi="Times New Roman" w:cs="Times New Roman"/>
        </w:rPr>
        <w:tab/>
      </w:r>
      <w:r>
        <w:rPr>
          <w:rFonts w:ascii="Times New Roman" w:hAnsi="Times New Roman" w:cs="Times New Roman"/>
        </w:rPr>
        <w:t>B</w:t>
      </w:r>
      <w:r w:rsidRPr="008676FB" w:rsidDel="00037889">
        <w:rPr>
          <w:rFonts w:ascii="Times New Roman" w:hAnsi="Times New Roman" w:cs="Times New Roman"/>
        </w:rPr>
        <w:t xml:space="preserve">ecause </w:t>
      </w:r>
      <w:proofErr w:type="spellStart"/>
      <w:r w:rsidRPr="008676FB" w:rsidDel="00037889">
        <w:rPr>
          <w:rFonts w:ascii="Times New Roman" w:hAnsi="Times New Roman" w:cs="Times New Roman"/>
        </w:rPr>
        <w:t>logit</w:t>
      </w:r>
      <w:proofErr w:type="spellEnd"/>
      <w:r w:rsidRPr="008676FB" w:rsidDel="00037889">
        <w:rPr>
          <w:rFonts w:ascii="Times New Roman" w:hAnsi="Times New Roman" w:cs="Times New Roman"/>
        </w:rPr>
        <w:t xml:space="preserve"> coefficients are difficult to interpret</w:t>
      </w:r>
      <w:r>
        <w:rPr>
          <w:rFonts w:ascii="Times New Roman" w:hAnsi="Times New Roman" w:cs="Times New Roman"/>
        </w:rPr>
        <w:t>,</w:t>
      </w:r>
      <w:r w:rsidRPr="008676FB" w:rsidDel="00037889">
        <w:rPr>
          <w:rFonts w:ascii="Times New Roman" w:hAnsi="Times New Roman" w:cs="Times New Roman"/>
        </w:rPr>
        <w:t xml:space="preserve"> </w:t>
      </w:r>
      <w:r>
        <w:rPr>
          <w:rFonts w:ascii="Times New Roman" w:hAnsi="Times New Roman" w:cs="Times New Roman"/>
        </w:rPr>
        <w:t xml:space="preserve">in Appendix Figure 2 </w:t>
      </w:r>
      <w:r w:rsidRPr="008676FB" w:rsidDel="00037889">
        <w:rPr>
          <w:rFonts w:ascii="Times New Roman" w:hAnsi="Times New Roman" w:cs="Times New Roman"/>
        </w:rPr>
        <w:t xml:space="preserve">we </w:t>
      </w:r>
      <w:r>
        <w:rPr>
          <w:rFonts w:ascii="Times New Roman" w:hAnsi="Times New Roman" w:cs="Times New Roman"/>
        </w:rPr>
        <w:t>also present</w:t>
      </w:r>
      <w:r w:rsidRPr="008676FB" w:rsidDel="00037889">
        <w:rPr>
          <w:rFonts w:ascii="Times New Roman" w:hAnsi="Times New Roman" w:cs="Times New Roman"/>
        </w:rPr>
        <w:t xml:space="preserve"> </w:t>
      </w:r>
      <w:r>
        <w:rPr>
          <w:rFonts w:ascii="Times New Roman" w:hAnsi="Times New Roman" w:cs="Times New Roman"/>
        </w:rPr>
        <w:t xml:space="preserve">these </w:t>
      </w:r>
      <w:r w:rsidRPr="008676FB" w:rsidDel="00037889">
        <w:rPr>
          <w:rFonts w:ascii="Times New Roman" w:hAnsi="Times New Roman" w:cs="Times New Roman"/>
        </w:rPr>
        <w:t xml:space="preserve">robustness findings as graphed probabilities. </w:t>
      </w:r>
    </w:p>
    <w:p w14:paraId="69D9BF79" w14:textId="77777777" w:rsidR="004013A1" w:rsidRPr="008676FB" w:rsidDel="00037889" w:rsidRDefault="004013A1" w:rsidP="004013A1">
      <w:pPr>
        <w:spacing w:line="480" w:lineRule="auto"/>
        <w:jc w:val="center"/>
        <w:rPr>
          <w:rFonts w:ascii="Times New Roman" w:hAnsi="Times New Roman" w:cs="Times New Roman"/>
        </w:rPr>
      </w:pPr>
      <w:r w:rsidRPr="008676FB" w:rsidDel="00037889">
        <w:rPr>
          <w:rFonts w:ascii="Times New Roman" w:hAnsi="Times New Roman" w:cs="Times New Roman"/>
        </w:rPr>
        <w:t>[</w:t>
      </w:r>
      <w:r>
        <w:rPr>
          <w:rFonts w:ascii="Times New Roman" w:hAnsi="Times New Roman" w:cs="Times New Roman"/>
        </w:rPr>
        <w:t xml:space="preserve">Appendix </w:t>
      </w:r>
      <w:r w:rsidRPr="008676FB" w:rsidDel="00037889">
        <w:rPr>
          <w:rFonts w:ascii="Times New Roman" w:hAnsi="Times New Roman" w:cs="Times New Roman"/>
        </w:rPr>
        <w:t xml:space="preserve">Figure </w:t>
      </w:r>
      <w:r>
        <w:rPr>
          <w:rFonts w:ascii="Times New Roman" w:hAnsi="Times New Roman" w:cs="Times New Roman"/>
        </w:rPr>
        <w:t>2</w:t>
      </w:r>
      <w:r w:rsidRPr="008676FB" w:rsidDel="00037889">
        <w:rPr>
          <w:rFonts w:ascii="Times New Roman" w:hAnsi="Times New Roman" w:cs="Times New Roman"/>
        </w:rPr>
        <w:t xml:space="preserve"> here]</w:t>
      </w:r>
    </w:p>
    <w:p w14:paraId="61937C17" w14:textId="77777777" w:rsidR="004013A1" w:rsidRDefault="004013A1" w:rsidP="004013A1">
      <w:pPr>
        <w:spacing w:line="480" w:lineRule="auto"/>
        <w:ind w:right="-180"/>
        <w:rPr>
          <w:rFonts w:ascii="Times New Roman" w:hAnsi="Times New Roman" w:cs="Times New Roman"/>
        </w:rPr>
      </w:pPr>
      <w:r w:rsidRPr="008676FB" w:rsidDel="00037889">
        <w:rPr>
          <w:rFonts w:ascii="Times New Roman" w:hAnsi="Times New Roman" w:cs="Times New Roman"/>
        </w:rPr>
        <w:t xml:space="preserve">Comparing Figure 1 </w:t>
      </w:r>
      <w:r>
        <w:rPr>
          <w:rFonts w:ascii="Times New Roman" w:hAnsi="Times New Roman" w:cs="Times New Roman"/>
        </w:rPr>
        <w:t xml:space="preserve">from the article </w:t>
      </w:r>
      <w:r w:rsidRPr="008676FB" w:rsidDel="00037889">
        <w:rPr>
          <w:rFonts w:ascii="Times New Roman" w:hAnsi="Times New Roman" w:cs="Times New Roman"/>
        </w:rPr>
        <w:t xml:space="preserve">and </w:t>
      </w:r>
      <w:r>
        <w:rPr>
          <w:rFonts w:ascii="Times New Roman" w:hAnsi="Times New Roman" w:cs="Times New Roman"/>
        </w:rPr>
        <w:t xml:space="preserve">Appendix </w:t>
      </w:r>
      <w:r w:rsidRPr="008676FB" w:rsidDel="00037889">
        <w:rPr>
          <w:rFonts w:ascii="Times New Roman" w:hAnsi="Times New Roman" w:cs="Times New Roman"/>
        </w:rPr>
        <w:t xml:space="preserve">Figure </w:t>
      </w:r>
      <w:r>
        <w:rPr>
          <w:rFonts w:ascii="Times New Roman" w:hAnsi="Times New Roman" w:cs="Times New Roman"/>
        </w:rPr>
        <w:t>2</w:t>
      </w:r>
      <w:r w:rsidRPr="008676FB" w:rsidDel="00037889">
        <w:rPr>
          <w:rFonts w:ascii="Times New Roman" w:hAnsi="Times New Roman" w:cs="Times New Roman"/>
        </w:rPr>
        <w:t xml:space="preserve">, it immediately becomes apparent that the results are virtually indistinguishable. The effects of increased TV access in high party states are slightly stronger in the ENEP reciprocation and violent reciprocation models, while the low-ENEP curves are somewhat flatter, as TV access varies. </w:t>
      </w:r>
      <w:r>
        <w:rPr>
          <w:rFonts w:ascii="Times New Roman" w:hAnsi="Times New Roman" w:cs="Times New Roman"/>
        </w:rPr>
        <w:t>B</w:t>
      </w:r>
      <w:r w:rsidRPr="008676FB" w:rsidDel="00037889">
        <w:rPr>
          <w:rFonts w:ascii="Times New Roman" w:hAnsi="Times New Roman" w:cs="Times New Roman"/>
        </w:rPr>
        <w:t>oth curves – representing “all reciprocation” or “violent reciprocation,” as TV access varies – are highly significant (</w:t>
      </w:r>
      <w:r w:rsidRPr="008676FB" w:rsidDel="00037889">
        <w:rPr>
          <w:rFonts w:ascii="Times New Roman" w:hAnsi="Times New Roman" w:cs="Times New Roman"/>
          <w:i/>
        </w:rPr>
        <w:t>p</w:t>
      </w:r>
      <w:r w:rsidRPr="008676FB" w:rsidDel="00037889">
        <w:rPr>
          <w:rFonts w:ascii="Times New Roman" w:hAnsi="Times New Roman" w:cs="Times New Roman"/>
        </w:rPr>
        <w:t>&lt;</w:t>
      </w:r>
      <w:proofErr w:type="gramStart"/>
      <w:r w:rsidRPr="008676FB" w:rsidDel="00037889">
        <w:rPr>
          <w:rFonts w:ascii="Times New Roman" w:hAnsi="Times New Roman" w:cs="Times New Roman"/>
        </w:rPr>
        <w:t>.01</w:t>
      </w:r>
      <w:proofErr w:type="gramEnd"/>
      <w:r w:rsidRPr="008676FB" w:rsidDel="00037889">
        <w:rPr>
          <w:rFonts w:ascii="Times New Roman" w:hAnsi="Times New Roman" w:cs="Times New Roman"/>
        </w:rPr>
        <w:t xml:space="preserve">) given a high number of parties and insignificant given a low number of parties. The probabilities of reciprocation and violent reciprocation </w:t>
      </w:r>
      <w:r>
        <w:rPr>
          <w:rFonts w:ascii="Times New Roman" w:hAnsi="Times New Roman" w:cs="Times New Roman"/>
        </w:rPr>
        <w:t>change</w:t>
      </w:r>
      <w:r w:rsidRPr="008676FB" w:rsidDel="00037889">
        <w:rPr>
          <w:rFonts w:ascii="Times New Roman" w:hAnsi="Times New Roman" w:cs="Times New Roman"/>
        </w:rPr>
        <w:t xml:space="preserve"> slightly more </w:t>
      </w:r>
      <w:r>
        <w:rPr>
          <w:rFonts w:ascii="Times New Roman" w:hAnsi="Times New Roman" w:cs="Times New Roman"/>
        </w:rPr>
        <w:t>dramatically (-0.64 for reciprocation and -0.57 for violent reciprocation)</w:t>
      </w:r>
      <w:r w:rsidRPr="008676FB" w:rsidDel="00037889">
        <w:rPr>
          <w:rFonts w:ascii="Times New Roman" w:hAnsi="Times New Roman" w:cs="Times New Roman"/>
        </w:rPr>
        <w:t xml:space="preserve"> in the predicted direction. </w:t>
      </w:r>
    </w:p>
    <w:p w14:paraId="720C7736" w14:textId="77777777" w:rsidR="004013A1" w:rsidRDefault="004013A1" w:rsidP="004013A1">
      <w:pPr>
        <w:spacing w:line="480" w:lineRule="auto"/>
        <w:ind w:right="-180" w:firstLine="720"/>
        <w:rPr>
          <w:rFonts w:ascii="Times New Roman" w:hAnsi="Times New Roman" w:cs="Times New Roman"/>
        </w:rPr>
      </w:pPr>
      <w:r>
        <w:rPr>
          <w:rFonts w:ascii="Times New Roman" w:hAnsi="Times New Roman" w:cs="Times New Roman"/>
        </w:rPr>
        <w:t xml:space="preserve">Appendix </w:t>
      </w:r>
      <w:r w:rsidRPr="004D4FD7">
        <w:rPr>
          <w:rFonts w:ascii="Times New Roman" w:hAnsi="Times New Roman" w:cs="Times New Roman"/>
        </w:rPr>
        <w:t xml:space="preserve">Table </w:t>
      </w:r>
      <w:r>
        <w:rPr>
          <w:rFonts w:ascii="Times New Roman" w:hAnsi="Times New Roman" w:cs="Times New Roman"/>
        </w:rPr>
        <w:t>3</w:t>
      </w:r>
      <w:r w:rsidRPr="004D4FD7">
        <w:rPr>
          <w:rFonts w:ascii="Times New Roman" w:hAnsi="Times New Roman" w:cs="Times New Roman"/>
        </w:rPr>
        <w:t xml:space="preserve"> summarizes the probabilities at one standard deviation above and below the mean values of parties</w:t>
      </w:r>
      <w:r>
        <w:rPr>
          <w:rFonts w:ascii="Times New Roman" w:hAnsi="Times New Roman" w:cs="Times New Roman"/>
        </w:rPr>
        <w:t xml:space="preserve"> – operationalized through both ENPP (from the original paper) and ENPP as an alternative measure</w:t>
      </w:r>
      <w:r w:rsidRPr="004D4FD7">
        <w:rPr>
          <w:rFonts w:ascii="Times New Roman" w:hAnsi="Times New Roman" w:cs="Times New Roman"/>
        </w:rPr>
        <w:t xml:space="preserve"> </w:t>
      </w:r>
      <w:r>
        <w:rPr>
          <w:rFonts w:ascii="Times New Roman" w:hAnsi="Times New Roman" w:cs="Times New Roman"/>
        </w:rPr>
        <w:t xml:space="preserve">– </w:t>
      </w:r>
      <w:r w:rsidRPr="004D4FD7">
        <w:rPr>
          <w:rFonts w:ascii="Times New Roman" w:hAnsi="Times New Roman" w:cs="Times New Roman"/>
        </w:rPr>
        <w:t>and media access.</w:t>
      </w:r>
    </w:p>
    <w:p w14:paraId="6346524B" w14:textId="77777777" w:rsidR="004013A1" w:rsidRDefault="004013A1" w:rsidP="004013A1">
      <w:pPr>
        <w:jc w:val="center"/>
        <w:rPr>
          <w:rFonts w:ascii="Times New Roman" w:hAnsi="Times New Roman" w:cs="Times New Roman"/>
        </w:rPr>
      </w:pPr>
      <w:r>
        <w:rPr>
          <w:rFonts w:ascii="Times New Roman" w:hAnsi="Times New Roman" w:cs="Times New Roman"/>
        </w:rPr>
        <w:t>[Appendix Table 3 here]</w:t>
      </w:r>
    </w:p>
    <w:p w14:paraId="1BCFF4DE" w14:textId="77777777" w:rsidR="004013A1" w:rsidRDefault="004013A1" w:rsidP="004013A1">
      <w:pPr>
        <w:spacing w:line="480" w:lineRule="auto"/>
        <w:ind w:right="-180"/>
        <w:rPr>
          <w:rFonts w:ascii="Times New Roman" w:hAnsi="Times New Roman" w:cs="Times New Roman"/>
        </w:rPr>
      </w:pPr>
    </w:p>
    <w:p w14:paraId="13F1B886" w14:textId="77777777" w:rsidR="004013A1" w:rsidRDefault="004013A1" w:rsidP="004013A1">
      <w:pPr>
        <w:spacing w:line="480" w:lineRule="auto"/>
        <w:ind w:right="-180" w:firstLine="720"/>
        <w:rPr>
          <w:rFonts w:ascii="Times New Roman" w:hAnsi="Times New Roman" w:cs="Times New Roman"/>
        </w:rPr>
      </w:pPr>
      <w:r>
        <w:rPr>
          <w:rFonts w:ascii="Times New Roman" w:hAnsi="Times New Roman" w:cs="Times New Roman"/>
        </w:rPr>
        <w:t xml:space="preserve">In a subsequent section of this appendix we will introduce the logic behind a relationship between our proposed indicators and victory in </w:t>
      </w:r>
      <w:proofErr w:type="spellStart"/>
      <w:r>
        <w:rPr>
          <w:rFonts w:ascii="Times New Roman" w:hAnsi="Times New Roman" w:cs="Times New Roman"/>
        </w:rPr>
        <w:t>MIDs.</w:t>
      </w:r>
      <w:proofErr w:type="spellEnd"/>
      <w:r>
        <w:rPr>
          <w:rFonts w:ascii="Times New Roman" w:hAnsi="Times New Roman" w:cs="Times New Roman"/>
        </w:rPr>
        <w:t xml:space="preserve"> However, to presage, </w:t>
      </w:r>
      <w:r w:rsidRPr="008676FB" w:rsidDel="00037889">
        <w:rPr>
          <w:rFonts w:ascii="Times New Roman" w:hAnsi="Times New Roman" w:cs="Times New Roman"/>
        </w:rPr>
        <w:t xml:space="preserve">the effects of variations in TV access on the probability of victory, though a bit less pronounced than in the ENPP model (and with correspondingly wider confidence intervals), are also substantial in magnitude </w:t>
      </w:r>
      <w:r>
        <w:rPr>
          <w:rFonts w:ascii="Times New Roman" w:hAnsi="Times New Roman" w:cs="Times New Roman"/>
        </w:rPr>
        <w:t xml:space="preserve">(0.54) </w:t>
      </w:r>
      <w:r w:rsidRPr="008676FB" w:rsidDel="00037889">
        <w:rPr>
          <w:rFonts w:ascii="Times New Roman" w:hAnsi="Times New Roman" w:cs="Times New Roman"/>
        </w:rPr>
        <w:t xml:space="preserve">and statistically significant at </w:t>
      </w:r>
      <w:r w:rsidRPr="008676FB" w:rsidDel="00037889">
        <w:rPr>
          <w:rFonts w:ascii="Times New Roman" w:hAnsi="Times New Roman" w:cs="Times New Roman"/>
          <w:i/>
        </w:rPr>
        <w:t>p</w:t>
      </w:r>
      <w:r w:rsidRPr="008676FB" w:rsidDel="00037889">
        <w:rPr>
          <w:rFonts w:ascii="Times New Roman" w:hAnsi="Times New Roman" w:cs="Times New Roman"/>
        </w:rPr>
        <w:t>&lt;</w:t>
      </w:r>
      <w:proofErr w:type="gramStart"/>
      <w:r w:rsidRPr="008676FB" w:rsidDel="00037889">
        <w:rPr>
          <w:rFonts w:ascii="Times New Roman" w:hAnsi="Times New Roman" w:cs="Times New Roman"/>
        </w:rPr>
        <w:t>.01</w:t>
      </w:r>
      <w:proofErr w:type="gramEnd"/>
      <w:r w:rsidRPr="008676FB" w:rsidDel="00037889">
        <w:rPr>
          <w:rFonts w:ascii="Times New Roman" w:hAnsi="Times New Roman" w:cs="Times New Roman"/>
        </w:rPr>
        <w:t xml:space="preserve"> given a high number of parties. </w:t>
      </w:r>
    </w:p>
    <w:p w14:paraId="3B40B848" w14:textId="77777777" w:rsidR="004013A1" w:rsidRPr="009F5D04" w:rsidDel="00037889" w:rsidRDefault="004013A1" w:rsidP="004013A1">
      <w:pPr>
        <w:spacing w:line="480" w:lineRule="auto"/>
        <w:ind w:firstLine="720"/>
        <w:rPr>
          <w:rFonts w:ascii="Times New Roman" w:hAnsi="Times New Roman" w:cs="Times New Roman"/>
        </w:rPr>
      </w:pPr>
      <w:r w:rsidRPr="009F5D04" w:rsidDel="00037889">
        <w:rPr>
          <w:rFonts w:ascii="Times New Roman" w:hAnsi="Times New Roman" w:cs="Times New Roman"/>
        </w:rPr>
        <w:t xml:space="preserve">Finally, we replicate ordered and multivariate </w:t>
      </w:r>
      <w:proofErr w:type="spellStart"/>
      <w:r w:rsidRPr="009F5D04" w:rsidDel="00037889">
        <w:rPr>
          <w:rFonts w:ascii="Times New Roman" w:hAnsi="Times New Roman" w:cs="Times New Roman"/>
        </w:rPr>
        <w:t>logit</w:t>
      </w:r>
      <w:proofErr w:type="spellEnd"/>
      <w:r w:rsidRPr="009F5D04" w:rsidDel="00037889">
        <w:rPr>
          <w:rFonts w:ascii="Times New Roman" w:hAnsi="Times New Roman" w:cs="Times New Roman"/>
        </w:rPr>
        <w:t xml:space="preserve"> modes for the same variations in the measures of parties and media access. We plot the results in </w:t>
      </w:r>
      <w:r>
        <w:rPr>
          <w:rFonts w:ascii="Times New Roman" w:hAnsi="Times New Roman" w:cs="Times New Roman"/>
        </w:rPr>
        <w:t xml:space="preserve">Appendix </w:t>
      </w:r>
      <w:r w:rsidRPr="009F5D04" w:rsidDel="00037889">
        <w:rPr>
          <w:rFonts w:ascii="Times New Roman" w:hAnsi="Times New Roman" w:cs="Times New Roman"/>
        </w:rPr>
        <w:t xml:space="preserve">Figures </w:t>
      </w:r>
      <w:r>
        <w:rPr>
          <w:rFonts w:ascii="Times New Roman" w:hAnsi="Times New Roman" w:cs="Times New Roman"/>
        </w:rPr>
        <w:t>3</w:t>
      </w:r>
      <w:r w:rsidRPr="009F5D04" w:rsidDel="00037889">
        <w:rPr>
          <w:rFonts w:ascii="Times New Roman" w:hAnsi="Times New Roman" w:cs="Times New Roman"/>
        </w:rPr>
        <w:t>-</w:t>
      </w:r>
      <w:r>
        <w:rPr>
          <w:rFonts w:ascii="Times New Roman" w:hAnsi="Times New Roman" w:cs="Times New Roman"/>
        </w:rPr>
        <w:t>5</w:t>
      </w:r>
      <w:r w:rsidRPr="009F5D04" w:rsidDel="00037889">
        <w:rPr>
          <w:rFonts w:ascii="Times New Roman" w:hAnsi="Times New Roman" w:cs="Times New Roman"/>
        </w:rPr>
        <w:t>.</w:t>
      </w:r>
    </w:p>
    <w:p w14:paraId="3CEA8690" w14:textId="77777777" w:rsidR="004013A1" w:rsidRPr="009F5D04" w:rsidDel="00037889" w:rsidRDefault="004013A1" w:rsidP="004013A1">
      <w:pPr>
        <w:spacing w:line="480" w:lineRule="auto"/>
        <w:jc w:val="center"/>
        <w:rPr>
          <w:rFonts w:ascii="Times New Roman" w:hAnsi="Times New Roman" w:cs="Times New Roman"/>
        </w:rPr>
      </w:pPr>
      <w:r w:rsidRPr="009F5D04" w:rsidDel="00037889">
        <w:rPr>
          <w:rFonts w:ascii="Times New Roman" w:hAnsi="Times New Roman" w:cs="Times New Roman"/>
        </w:rPr>
        <w:t>[</w:t>
      </w:r>
      <w:r>
        <w:rPr>
          <w:rFonts w:ascii="Times New Roman" w:hAnsi="Times New Roman" w:cs="Times New Roman"/>
        </w:rPr>
        <w:t xml:space="preserve">Appendix </w:t>
      </w:r>
      <w:r w:rsidRPr="009F5D04" w:rsidDel="00037889">
        <w:rPr>
          <w:rFonts w:ascii="Times New Roman" w:hAnsi="Times New Roman" w:cs="Times New Roman"/>
        </w:rPr>
        <w:t xml:space="preserve">Figures </w:t>
      </w:r>
      <w:r>
        <w:rPr>
          <w:rFonts w:ascii="Times New Roman" w:hAnsi="Times New Roman" w:cs="Times New Roman"/>
        </w:rPr>
        <w:t>3</w:t>
      </w:r>
      <w:r w:rsidRPr="009F5D04" w:rsidDel="00037889">
        <w:rPr>
          <w:rFonts w:ascii="Times New Roman" w:hAnsi="Times New Roman" w:cs="Times New Roman"/>
        </w:rPr>
        <w:t>-</w:t>
      </w:r>
      <w:r>
        <w:rPr>
          <w:rFonts w:ascii="Times New Roman" w:hAnsi="Times New Roman" w:cs="Times New Roman"/>
        </w:rPr>
        <w:t>5</w:t>
      </w:r>
      <w:r w:rsidRPr="009F5D04" w:rsidDel="00037889">
        <w:rPr>
          <w:rFonts w:ascii="Times New Roman" w:hAnsi="Times New Roman" w:cs="Times New Roman"/>
        </w:rPr>
        <w:t xml:space="preserve"> here]</w:t>
      </w:r>
    </w:p>
    <w:p w14:paraId="0C390514" w14:textId="77777777" w:rsidR="004013A1" w:rsidRDefault="004013A1" w:rsidP="004013A1">
      <w:pPr>
        <w:spacing w:line="480" w:lineRule="auto"/>
        <w:rPr>
          <w:rFonts w:ascii="Times New Roman" w:hAnsi="Times New Roman" w:cs="Times New Roman"/>
        </w:rPr>
      </w:pPr>
      <w:r w:rsidRPr="009F5D04" w:rsidDel="00037889">
        <w:rPr>
          <w:rFonts w:ascii="Times New Roman" w:hAnsi="Times New Roman" w:cs="Times New Roman"/>
        </w:rPr>
        <w:t xml:space="preserve">The findings are generally </w:t>
      </w:r>
      <w:r>
        <w:rPr>
          <w:rFonts w:ascii="Times New Roman" w:hAnsi="Times New Roman" w:cs="Times New Roman"/>
        </w:rPr>
        <w:t>quite</w:t>
      </w:r>
      <w:r w:rsidRPr="009F5D04" w:rsidDel="00037889">
        <w:rPr>
          <w:rFonts w:ascii="Times New Roman" w:hAnsi="Times New Roman" w:cs="Times New Roman"/>
        </w:rPr>
        <w:t xml:space="preserve"> consistent with those uncovered in Table 1 and graphed in </w:t>
      </w:r>
      <w:r>
        <w:rPr>
          <w:rFonts w:ascii="Times New Roman" w:hAnsi="Times New Roman" w:cs="Times New Roman"/>
        </w:rPr>
        <w:t xml:space="preserve">Figure 1 and Appendix </w:t>
      </w:r>
      <w:r w:rsidRPr="009F5D04" w:rsidDel="00037889">
        <w:rPr>
          <w:rFonts w:ascii="Times New Roman" w:hAnsi="Times New Roman" w:cs="Times New Roman"/>
        </w:rPr>
        <w:t>Figures 1</w:t>
      </w:r>
      <w:r>
        <w:rPr>
          <w:rFonts w:ascii="Times New Roman" w:hAnsi="Times New Roman" w:cs="Times New Roman"/>
        </w:rPr>
        <w:t xml:space="preserve"> and 2</w:t>
      </w:r>
      <w:r w:rsidRPr="009F5D04" w:rsidDel="00037889">
        <w:rPr>
          <w:rFonts w:ascii="Times New Roman" w:hAnsi="Times New Roman" w:cs="Times New Roman"/>
        </w:rPr>
        <w:t xml:space="preserve">. As with </w:t>
      </w:r>
      <w:r>
        <w:rPr>
          <w:rFonts w:ascii="Times New Roman" w:hAnsi="Times New Roman" w:cs="Times New Roman"/>
        </w:rPr>
        <w:t xml:space="preserve">Appendix </w:t>
      </w:r>
      <w:r w:rsidRPr="009F5D04" w:rsidDel="00037889">
        <w:rPr>
          <w:rFonts w:ascii="Times New Roman" w:hAnsi="Times New Roman" w:cs="Times New Roman"/>
        </w:rPr>
        <w:t xml:space="preserve">Figure </w:t>
      </w:r>
      <w:r>
        <w:rPr>
          <w:rFonts w:ascii="Times New Roman" w:hAnsi="Times New Roman" w:cs="Times New Roman"/>
        </w:rPr>
        <w:t>1</w:t>
      </w:r>
      <w:r w:rsidRPr="009F5D04" w:rsidDel="00037889">
        <w:rPr>
          <w:rFonts w:ascii="Times New Roman" w:hAnsi="Times New Roman" w:cs="Times New Roman"/>
        </w:rPr>
        <w:t>, the one instance where the models employing dichotomous dependent variables differ from the 3-category models concerns the probability of non-violent reciprocation, which varies far less in all of the 3-category models than does the probability of violent reciprocation. These results once again imply that the effects of variations in media access primarily concern movement from non-reciprocation to violent reciprocation</w:t>
      </w:r>
      <w:r>
        <w:rPr>
          <w:rFonts w:ascii="Times New Roman" w:hAnsi="Times New Roman" w:cs="Times New Roman"/>
        </w:rPr>
        <w:t>.</w:t>
      </w:r>
    </w:p>
    <w:p w14:paraId="02847DAD" w14:textId="77777777" w:rsidR="004013A1" w:rsidRDefault="004013A1" w:rsidP="004013A1">
      <w:pPr>
        <w:rPr>
          <w:rFonts w:ascii="Times New Roman" w:hAnsi="Times New Roman" w:cs="Times New Roman"/>
          <w:b/>
        </w:rPr>
      </w:pPr>
    </w:p>
    <w:p w14:paraId="2FD60C2C" w14:textId="77777777" w:rsidR="004013A1" w:rsidRPr="00734090" w:rsidRDefault="004013A1" w:rsidP="004013A1">
      <w:pPr>
        <w:spacing w:line="480" w:lineRule="auto"/>
        <w:rPr>
          <w:rFonts w:ascii="Times New Roman" w:hAnsi="Times New Roman" w:cs="Times New Roman"/>
          <w:b/>
          <w:i/>
        </w:rPr>
      </w:pPr>
      <w:r w:rsidRPr="00734090">
        <w:rPr>
          <w:rFonts w:ascii="Times New Roman" w:hAnsi="Times New Roman" w:cs="Times New Roman"/>
          <w:b/>
          <w:i/>
        </w:rPr>
        <w:t>Extension: Audience Costs and Victory</w:t>
      </w:r>
    </w:p>
    <w:p w14:paraId="419DC1EA" w14:textId="77777777" w:rsidR="004013A1" w:rsidRDefault="004013A1" w:rsidP="004013A1">
      <w:pPr>
        <w:spacing w:line="480" w:lineRule="auto"/>
        <w:ind w:firstLine="720"/>
        <w:rPr>
          <w:rFonts w:ascii="Times New Roman" w:hAnsi="Times New Roman" w:cs="Times New Roman"/>
          <w:b/>
        </w:rPr>
      </w:pPr>
      <w:r>
        <w:rPr>
          <w:rFonts w:ascii="Times New Roman" w:hAnsi="Times New Roman" w:cs="Times New Roman"/>
        </w:rPr>
        <w:t xml:space="preserve">Leaders who are subject to audience costs through the mechanisms we identify face increased costs for backing down throughout the conflict process. The credibility advantage that accompanies this vulnerability should, all else equal, carry through all the way to the conclusion of the altercation, meaning that we should be able to discern a relationship between the mechanisms we observe and dispute outcomes. This insight follows from </w:t>
      </w:r>
      <w:proofErr w:type="spellStart"/>
      <w:r>
        <w:rPr>
          <w:rFonts w:ascii="Times New Roman" w:hAnsi="Times New Roman" w:cs="Times New Roman"/>
        </w:rPr>
        <w:t>Fearon’s</w:t>
      </w:r>
      <w:proofErr w:type="spellEnd"/>
      <w:r>
        <w:rPr>
          <w:rFonts w:ascii="Times New Roman" w:hAnsi="Times New Roman" w:cs="Times New Roman"/>
        </w:rPr>
        <w:t xml:space="preserve"> (1994) assertion that states with greater credibility generated through audience costs should win their disputes more often then their counterparts that are unable to generate credible commitments. This leads us to three additional hypotheses, which are direct parallels of those already introduced in the article. </w:t>
      </w:r>
    </w:p>
    <w:p w14:paraId="5C24F4E3" w14:textId="77777777" w:rsidR="004013A1" w:rsidRDefault="004013A1" w:rsidP="004013A1">
      <w:pPr>
        <w:ind w:left="720"/>
        <w:rPr>
          <w:rFonts w:ascii="Times New Roman" w:hAnsi="Times New Roman" w:cs="Times New Roman"/>
        </w:rPr>
      </w:pPr>
      <w:r>
        <w:rPr>
          <w:rFonts w:ascii="Times New Roman" w:hAnsi="Times New Roman" w:cs="Times New Roman"/>
          <w:b/>
        </w:rPr>
        <w:t xml:space="preserve">Appendix </w:t>
      </w:r>
      <w:r w:rsidRPr="004D4FD7" w:rsidDel="002C2623">
        <w:rPr>
          <w:rFonts w:ascii="Times New Roman" w:hAnsi="Times New Roman" w:cs="Times New Roman"/>
          <w:b/>
        </w:rPr>
        <w:t>H</w:t>
      </w:r>
      <w:r>
        <w:rPr>
          <w:rFonts w:ascii="Times New Roman" w:hAnsi="Times New Roman" w:cs="Times New Roman"/>
          <w:b/>
        </w:rPr>
        <w:t>1</w:t>
      </w:r>
      <w:r w:rsidRPr="004D4FD7" w:rsidDel="002C2623">
        <w:rPr>
          <w:rFonts w:ascii="Times New Roman" w:hAnsi="Times New Roman" w:cs="Times New Roman"/>
          <w:b/>
        </w:rPr>
        <w:t xml:space="preserve">:  </w:t>
      </w:r>
      <w:r w:rsidRPr="004D4FD7" w:rsidDel="002C2623">
        <w:rPr>
          <w:rFonts w:ascii="Times New Roman" w:hAnsi="Times New Roman" w:cs="Times New Roman"/>
        </w:rPr>
        <w:t>Ceteris paribus, as the number of parties increases</w:t>
      </w:r>
      <w:r w:rsidDel="002C2623">
        <w:rPr>
          <w:rFonts w:ascii="Times New Roman" w:hAnsi="Times New Roman" w:cs="Times New Roman"/>
        </w:rPr>
        <w:t>,</w:t>
      </w:r>
      <w:r w:rsidRPr="004D4FD7" w:rsidDel="002C2623">
        <w:rPr>
          <w:rFonts w:ascii="Times New Roman" w:hAnsi="Times New Roman" w:cs="Times New Roman"/>
        </w:rPr>
        <w:t xml:space="preserve"> </w:t>
      </w:r>
      <w:r w:rsidDel="002C2623">
        <w:rPr>
          <w:rFonts w:ascii="Times New Roman" w:hAnsi="Times New Roman" w:cs="Times New Roman"/>
        </w:rPr>
        <w:t>initiators become more likely to win dispu</w:t>
      </w:r>
      <w:r>
        <w:rPr>
          <w:rFonts w:ascii="Times New Roman" w:hAnsi="Times New Roman" w:cs="Times New Roman"/>
        </w:rPr>
        <w:t xml:space="preserve">tes. </w:t>
      </w:r>
    </w:p>
    <w:p w14:paraId="10D3A23A" w14:textId="77777777" w:rsidR="004013A1" w:rsidRDefault="004013A1" w:rsidP="004013A1">
      <w:pPr>
        <w:rPr>
          <w:rFonts w:ascii="Arial" w:eastAsia="Times New Roman" w:hAnsi="Arial" w:cs="Arial"/>
          <w:color w:val="222222"/>
          <w:sz w:val="20"/>
          <w:szCs w:val="20"/>
        </w:rPr>
      </w:pPr>
    </w:p>
    <w:p w14:paraId="220344EB" w14:textId="77777777" w:rsidR="004013A1" w:rsidRDefault="004013A1" w:rsidP="004013A1">
      <w:pPr>
        <w:ind w:left="720"/>
        <w:rPr>
          <w:rFonts w:ascii="Times New Roman" w:hAnsi="Times New Roman" w:cs="Times New Roman"/>
        </w:rPr>
      </w:pPr>
      <w:r>
        <w:rPr>
          <w:rFonts w:ascii="Times New Roman" w:hAnsi="Times New Roman" w:cs="Times New Roman"/>
          <w:b/>
        </w:rPr>
        <w:t xml:space="preserve">Appendix </w:t>
      </w:r>
      <w:r w:rsidRPr="004D4FD7" w:rsidDel="002C2623">
        <w:rPr>
          <w:rFonts w:ascii="Times New Roman" w:hAnsi="Times New Roman" w:cs="Times New Roman"/>
          <w:b/>
        </w:rPr>
        <w:t>H</w:t>
      </w:r>
      <w:r>
        <w:rPr>
          <w:rFonts w:ascii="Times New Roman" w:hAnsi="Times New Roman" w:cs="Times New Roman"/>
          <w:b/>
        </w:rPr>
        <w:t>2</w:t>
      </w:r>
      <w:r w:rsidRPr="004D4FD7" w:rsidDel="002C2623">
        <w:rPr>
          <w:rFonts w:ascii="Times New Roman" w:hAnsi="Times New Roman" w:cs="Times New Roman"/>
          <w:b/>
        </w:rPr>
        <w:t xml:space="preserve">:  </w:t>
      </w:r>
      <w:r w:rsidRPr="004D4FD7" w:rsidDel="002C2623">
        <w:rPr>
          <w:rFonts w:ascii="Times New Roman" w:hAnsi="Times New Roman" w:cs="Times New Roman"/>
        </w:rPr>
        <w:t xml:space="preserve">Ceteris paribus, as </w:t>
      </w:r>
      <w:r w:rsidDel="002C2623">
        <w:rPr>
          <w:rFonts w:ascii="Times New Roman" w:hAnsi="Times New Roman" w:cs="Times New Roman"/>
        </w:rPr>
        <w:t>media access</w:t>
      </w:r>
      <w:r w:rsidRPr="004D4FD7" w:rsidDel="002C2623">
        <w:rPr>
          <w:rFonts w:ascii="Times New Roman" w:hAnsi="Times New Roman" w:cs="Times New Roman"/>
        </w:rPr>
        <w:t xml:space="preserve"> increases</w:t>
      </w:r>
      <w:r w:rsidDel="002C2623">
        <w:rPr>
          <w:rFonts w:ascii="Times New Roman" w:hAnsi="Times New Roman" w:cs="Times New Roman"/>
        </w:rPr>
        <w:t>,</w:t>
      </w:r>
      <w:r w:rsidRPr="004D4FD7" w:rsidDel="002C2623">
        <w:rPr>
          <w:rFonts w:ascii="Times New Roman" w:hAnsi="Times New Roman" w:cs="Times New Roman"/>
        </w:rPr>
        <w:t xml:space="preserve"> </w:t>
      </w:r>
      <w:r w:rsidDel="002C2623">
        <w:rPr>
          <w:rFonts w:ascii="Times New Roman" w:hAnsi="Times New Roman" w:cs="Times New Roman"/>
        </w:rPr>
        <w:t>initiators become more likely to win disputes.</w:t>
      </w:r>
      <w:r>
        <w:rPr>
          <w:rFonts w:ascii="Times New Roman" w:hAnsi="Times New Roman" w:cs="Times New Roman"/>
        </w:rPr>
        <w:t xml:space="preserve"> </w:t>
      </w:r>
    </w:p>
    <w:p w14:paraId="7277A789" w14:textId="77777777" w:rsidR="004013A1" w:rsidRDefault="004013A1" w:rsidP="004013A1">
      <w:pPr>
        <w:ind w:left="720"/>
        <w:rPr>
          <w:rFonts w:ascii="Times New Roman" w:hAnsi="Times New Roman" w:cs="Times New Roman"/>
          <w:b/>
        </w:rPr>
      </w:pPr>
    </w:p>
    <w:p w14:paraId="73632D80" w14:textId="77777777" w:rsidR="004013A1" w:rsidRDefault="004013A1" w:rsidP="004013A1">
      <w:pPr>
        <w:ind w:left="720"/>
        <w:rPr>
          <w:rFonts w:ascii="Times New Roman" w:hAnsi="Times New Roman" w:cs="Times New Roman"/>
        </w:rPr>
      </w:pPr>
      <w:r>
        <w:rPr>
          <w:rFonts w:ascii="Times New Roman" w:hAnsi="Times New Roman" w:cs="Times New Roman"/>
          <w:b/>
        </w:rPr>
        <w:t xml:space="preserve">Appendix </w:t>
      </w:r>
      <w:r w:rsidRPr="004D4FD7" w:rsidDel="002C2623">
        <w:rPr>
          <w:rFonts w:ascii="Times New Roman" w:hAnsi="Times New Roman" w:cs="Times New Roman"/>
          <w:b/>
        </w:rPr>
        <w:t>H</w:t>
      </w:r>
      <w:r>
        <w:rPr>
          <w:rFonts w:ascii="Times New Roman" w:hAnsi="Times New Roman" w:cs="Times New Roman"/>
          <w:b/>
        </w:rPr>
        <w:t>3</w:t>
      </w:r>
      <w:r w:rsidRPr="004D4FD7" w:rsidDel="002C2623">
        <w:rPr>
          <w:rFonts w:ascii="Times New Roman" w:hAnsi="Times New Roman" w:cs="Times New Roman"/>
          <w:b/>
        </w:rPr>
        <w:t xml:space="preserve">:  </w:t>
      </w:r>
      <w:r w:rsidRPr="004D4FD7" w:rsidDel="002C2623">
        <w:rPr>
          <w:rFonts w:ascii="Times New Roman" w:hAnsi="Times New Roman" w:cs="Times New Roman"/>
        </w:rPr>
        <w:t xml:space="preserve">Ceteris paribus, </w:t>
      </w:r>
      <w:r w:rsidDel="002C2623">
        <w:rPr>
          <w:rFonts w:ascii="Times New Roman" w:hAnsi="Times New Roman" w:cs="Times New Roman"/>
        </w:rPr>
        <w:t xml:space="preserve">beyond some threshold of media access, </w:t>
      </w:r>
      <w:r w:rsidRPr="004D4FD7" w:rsidDel="002C2623">
        <w:rPr>
          <w:rFonts w:ascii="Times New Roman" w:hAnsi="Times New Roman" w:cs="Times New Roman"/>
        </w:rPr>
        <w:t>as the number of parties increases, greater public access to the media will be more strongly associated with</w:t>
      </w:r>
      <w:r w:rsidDel="002C2623">
        <w:rPr>
          <w:rFonts w:ascii="Times New Roman" w:hAnsi="Times New Roman" w:cs="Times New Roman"/>
        </w:rPr>
        <w:t xml:space="preserve"> increases in the likelihood that initiators will win</w:t>
      </w:r>
      <w:r w:rsidRPr="004D4FD7" w:rsidDel="002C2623">
        <w:rPr>
          <w:rFonts w:ascii="Times New Roman" w:hAnsi="Times New Roman" w:cs="Times New Roman"/>
        </w:rPr>
        <w:t xml:space="preserve"> </w:t>
      </w:r>
      <w:r w:rsidDel="002C2623">
        <w:rPr>
          <w:rFonts w:ascii="Times New Roman" w:hAnsi="Times New Roman" w:cs="Times New Roman"/>
        </w:rPr>
        <w:t>disputes.</w:t>
      </w:r>
    </w:p>
    <w:p w14:paraId="3ED575B8" w14:textId="77777777" w:rsidR="004013A1" w:rsidRDefault="004013A1" w:rsidP="004013A1">
      <w:pPr>
        <w:rPr>
          <w:rFonts w:ascii="Times New Roman" w:hAnsi="Times New Roman" w:cs="Times New Roman"/>
        </w:rPr>
      </w:pPr>
    </w:p>
    <w:p w14:paraId="1E11F52E" w14:textId="77777777" w:rsidR="004013A1" w:rsidRDefault="004013A1" w:rsidP="004013A1">
      <w:pPr>
        <w:spacing w:line="480" w:lineRule="auto"/>
        <w:ind w:firstLine="720"/>
        <w:rPr>
          <w:rFonts w:ascii="Times New Roman" w:hAnsi="Times New Roman" w:cs="Times New Roman"/>
        </w:rPr>
      </w:pPr>
      <w:r>
        <w:rPr>
          <w:rFonts w:ascii="Times New Roman" w:hAnsi="Times New Roman" w:cs="Times New Roman"/>
        </w:rPr>
        <w:t xml:space="preserve">To test these hypotheses we turn to a different facet of the correlates of war militarized interstate dispute dataset. Specifically, we code an event as a “win” for the initiating state if “Side A” obtains its preferred outcome. The models, which can be found in Appendix Table 4, otherwise replicate Model 1 from Table 1 and the robustness check for ENEP (Appendix Table 1, Model 1). </w:t>
      </w:r>
    </w:p>
    <w:p w14:paraId="31F79751" w14:textId="77777777" w:rsidR="004013A1" w:rsidRDefault="004013A1" w:rsidP="004013A1">
      <w:pPr>
        <w:spacing w:line="480" w:lineRule="auto"/>
        <w:ind w:firstLine="720"/>
        <w:jc w:val="center"/>
        <w:rPr>
          <w:rFonts w:ascii="Times New Roman" w:hAnsi="Times New Roman" w:cs="Times New Roman"/>
        </w:rPr>
      </w:pPr>
      <w:r>
        <w:rPr>
          <w:rFonts w:ascii="Times New Roman" w:hAnsi="Times New Roman" w:cs="Times New Roman"/>
        </w:rPr>
        <w:t>[Appendix Table 4 Here]</w:t>
      </w:r>
    </w:p>
    <w:p w14:paraId="0274BB59" w14:textId="77777777" w:rsidR="004013A1" w:rsidRDefault="004013A1" w:rsidP="004013A1">
      <w:pPr>
        <w:spacing w:line="480" w:lineRule="auto"/>
        <w:ind w:firstLine="720"/>
        <w:rPr>
          <w:rFonts w:ascii="Times New Roman" w:hAnsi="Times New Roman" w:cs="Times New Roman"/>
        </w:rPr>
      </w:pPr>
      <w:r>
        <w:rPr>
          <w:rFonts w:ascii="Times New Roman" w:hAnsi="Times New Roman" w:cs="Times New Roman"/>
        </w:rPr>
        <w:t>The hypotheses</w:t>
      </w:r>
      <w:r w:rsidRPr="004D4FD7">
        <w:rPr>
          <w:rFonts w:ascii="Times New Roman" w:hAnsi="Times New Roman" w:cs="Times New Roman"/>
        </w:rPr>
        <w:t xml:space="preserve"> predict that as the number of parties (</w:t>
      </w:r>
      <w:r>
        <w:rPr>
          <w:rFonts w:ascii="Times New Roman" w:hAnsi="Times New Roman" w:cs="Times New Roman"/>
        </w:rPr>
        <w:t>Appendix H1</w:t>
      </w:r>
      <w:r w:rsidRPr="004D4FD7">
        <w:rPr>
          <w:rFonts w:ascii="Times New Roman" w:hAnsi="Times New Roman" w:cs="Times New Roman"/>
        </w:rPr>
        <w:t>) or media access (</w:t>
      </w:r>
      <w:r>
        <w:rPr>
          <w:rFonts w:ascii="Times New Roman" w:hAnsi="Times New Roman" w:cs="Times New Roman"/>
        </w:rPr>
        <w:t>Appendix H2</w:t>
      </w:r>
      <w:r w:rsidRPr="004D4FD7">
        <w:rPr>
          <w:rFonts w:ascii="Times New Roman" w:hAnsi="Times New Roman" w:cs="Times New Roman"/>
        </w:rPr>
        <w:t>)</w:t>
      </w:r>
      <w:r>
        <w:rPr>
          <w:rFonts w:ascii="Times New Roman" w:hAnsi="Times New Roman" w:cs="Times New Roman"/>
        </w:rPr>
        <w:t xml:space="preserve"> </w:t>
      </w:r>
      <w:r w:rsidRPr="004D4FD7">
        <w:rPr>
          <w:rFonts w:ascii="Times New Roman" w:hAnsi="Times New Roman" w:cs="Times New Roman"/>
        </w:rPr>
        <w:t xml:space="preserve">increases, </w:t>
      </w:r>
      <w:r>
        <w:rPr>
          <w:rFonts w:ascii="Times New Roman" w:hAnsi="Times New Roman" w:cs="Times New Roman"/>
        </w:rPr>
        <w:t>initiator states will be more likely to win the MIDs they initiate</w:t>
      </w:r>
      <w:r w:rsidRPr="004D4FD7">
        <w:rPr>
          <w:rFonts w:ascii="Times New Roman" w:hAnsi="Times New Roman" w:cs="Times New Roman"/>
        </w:rPr>
        <w:t xml:space="preserve">. </w:t>
      </w:r>
      <w:r>
        <w:rPr>
          <w:rFonts w:ascii="Times New Roman" w:hAnsi="Times New Roman" w:cs="Times New Roman"/>
        </w:rPr>
        <w:t>Appendix Figure 6 indicates that</w:t>
      </w:r>
      <w:r w:rsidRPr="004D4FD7">
        <w:rPr>
          <w:rFonts w:ascii="Times New Roman" w:hAnsi="Times New Roman" w:cs="Times New Roman"/>
        </w:rPr>
        <w:t xml:space="preserve"> at nearly all values of </w:t>
      </w:r>
      <w:r>
        <w:rPr>
          <w:rFonts w:ascii="Times New Roman" w:hAnsi="Times New Roman" w:cs="Times New Roman"/>
        </w:rPr>
        <w:t>TV</w:t>
      </w:r>
      <w:r w:rsidRPr="004D4FD7">
        <w:rPr>
          <w:rFonts w:ascii="Times New Roman" w:hAnsi="Times New Roman" w:cs="Times New Roman"/>
        </w:rPr>
        <w:t xml:space="preserve"> access – the exception </w:t>
      </w:r>
      <w:r>
        <w:rPr>
          <w:rFonts w:ascii="Times New Roman" w:hAnsi="Times New Roman" w:cs="Times New Roman"/>
        </w:rPr>
        <w:t xml:space="preserve">again </w:t>
      </w:r>
      <w:r w:rsidRPr="004D4FD7">
        <w:rPr>
          <w:rFonts w:ascii="Times New Roman" w:hAnsi="Times New Roman" w:cs="Times New Roman"/>
        </w:rPr>
        <w:t>being at the low</w:t>
      </w:r>
      <w:r>
        <w:rPr>
          <w:rFonts w:ascii="Times New Roman" w:hAnsi="Times New Roman" w:cs="Times New Roman"/>
        </w:rPr>
        <w:t xml:space="preserve"> </w:t>
      </w:r>
      <w:r w:rsidRPr="004D4FD7">
        <w:rPr>
          <w:rFonts w:ascii="Times New Roman" w:hAnsi="Times New Roman" w:cs="Times New Roman"/>
        </w:rPr>
        <w:t>end</w:t>
      </w:r>
      <w:r>
        <w:rPr>
          <w:rFonts w:ascii="Times New Roman" w:hAnsi="Times New Roman" w:cs="Times New Roman"/>
        </w:rPr>
        <w:t xml:space="preserve"> </w:t>
      </w:r>
      <w:r w:rsidRPr="004D4FD7">
        <w:rPr>
          <w:rFonts w:ascii="Times New Roman" w:hAnsi="Times New Roman" w:cs="Times New Roman"/>
        </w:rPr>
        <w:t xml:space="preserve">– the </w:t>
      </w:r>
      <w:r>
        <w:rPr>
          <w:rFonts w:ascii="Times New Roman" w:hAnsi="Times New Roman" w:cs="Times New Roman"/>
        </w:rPr>
        <w:t>red</w:t>
      </w:r>
      <w:r w:rsidRPr="004D4FD7">
        <w:rPr>
          <w:rFonts w:ascii="Times New Roman" w:hAnsi="Times New Roman" w:cs="Times New Roman"/>
        </w:rPr>
        <w:t xml:space="preserve"> curve (representing one standard deviation above the mean number of parties)</w:t>
      </w:r>
      <w:r>
        <w:rPr>
          <w:rFonts w:ascii="Times New Roman" w:hAnsi="Times New Roman" w:cs="Times New Roman"/>
        </w:rPr>
        <w:t xml:space="preserve"> is higher</w:t>
      </w:r>
      <w:r w:rsidRPr="004D4FD7">
        <w:rPr>
          <w:rFonts w:ascii="Times New Roman" w:hAnsi="Times New Roman" w:cs="Times New Roman"/>
        </w:rPr>
        <w:t xml:space="preserve"> than the </w:t>
      </w:r>
      <w:r>
        <w:rPr>
          <w:rFonts w:ascii="Times New Roman" w:hAnsi="Times New Roman" w:cs="Times New Roman"/>
        </w:rPr>
        <w:t>green</w:t>
      </w:r>
      <w:r w:rsidRPr="004D4FD7">
        <w:rPr>
          <w:rFonts w:ascii="Times New Roman" w:hAnsi="Times New Roman" w:cs="Times New Roman"/>
        </w:rPr>
        <w:t xml:space="preserve"> curve (representing one standard deviation </w:t>
      </w:r>
      <w:r>
        <w:rPr>
          <w:rFonts w:ascii="Times New Roman" w:hAnsi="Times New Roman" w:cs="Times New Roman"/>
        </w:rPr>
        <w:t>below</w:t>
      </w:r>
      <w:r w:rsidRPr="004D4FD7">
        <w:rPr>
          <w:rFonts w:ascii="Times New Roman" w:hAnsi="Times New Roman" w:cs="Times New Roman"/>
        </w:rPr>
        <w:t xml:space="preserve"> the mean number of parties). </w:t>
      </w:r>
      <w:r>
        <w:rPr>
          <w:rFonts w:ascii="Times New Roman" w:hAnsi="Times New Roman" w:cs="Times New Roman"/>
        </w:rPr>
        <w:t>This supports Appendix H1</w:t>
      </w:r>
      <w:r w:rsidRPr="004D4FD7">
        <w:rPr>
          <w:rFonts w:ascii="Times New Roman" w:hAnsi="Times New Roman" w:cs="Times New Roman"/>
        </w:rPr>
        <w:t>.</w:t>
      </w:r>
    </w:p>
    <w:p w14:paraId="5343EC4B" w14:textId="77777777" w:rsidR="004013A1" w:rsidRPr="004D4FD7" w:rsidRDefault="004013A1" w:rsidP="004013A1">
      <w:pPr>
        <w:spacing w:line="480" w:lineRule="auto"/>
        <w:ind w:firstLine="720"/>
        <w:jc w:val="center"/>
        <w:rPr>
          <w:rFonts w:ascii="Times New Roman" w:hAnsi="Times New Roman" w:cs="Times New Roman"/>
        </w:rPr>
      </w:pPr>
      <w:r>
        <w:rPr>
          <w:rFonts w:ascii="Times New Roman" w:hAnsi="Times New Roman" w:cs="Times New Roman"/>
        </w:rPr>
        <w:t>[Appendix Figure 6 Here]</w:t>
      </w:r>
    </w:p>
    <w:p w14:paraId="6FCCE478" w14:textId="77777777" w:rsidR="004013A1" w:rsidRDefault="004013A1" w:rsidP="004013A1">
      <w:pPr>
        <w:spacing w:line="480" w:lineRule="auto"/>
        <w:ind w:firstLine="720"/>
        <w:rPr>
          <w:rFonts w:ascii="Times New Roman" w:hAnsi="Times New Roman" w:cs="Times New Roman"/>
        </w:rPr>
      </w:pPr>
      <w:r w:rsidRPr="004D4FD7">
        <w:rPr>
          <w:rFonts w:ascii="Times New Roman" w:hAnsi="Times New Roman" w:cs="Times New Roman"/>
        </w:rPr>
        <w:t xml:space="preserve">Turning to </w:t>
      </w:r>
      <w:r>
        <w:rPr>
          <w:rFonts w:ascii="Times New Roman" w:hAnsi="Times New Roman" w:cs="Times New Roman"/>
        </w:rPr>
        <w:t>Appendix H2</w:t>
      </w:r>
      <w:r w:rsidRPr="004D4FD7">
        <w:rPr>
          <w:rFonts w:ascii="Times New Roman" w:hAnsi="Times New Roman" w:cs="Times New Roman"/>
        </w:rPr>
        <w:t xml:space="preserve">, here the appropriate test is to observe the slope of the curves as media access increases. Consistent with </w:t>
      </w:r>
      <w:r>
        <w:rPr>
          <w:rFonts w:ascii="Times New Roman" w:hAnsi="Times New Roman" w:cs="Times New Roman"/>
        </w:rPr>
        <w:t>Appendix H2</w:t>
      </w:r>
      <w:r w:rsidRPr="004D4FD7">
        <w:rPr>
          <w:rFonts w:ascii="Times New Roman" w:hAnsi="Times New Roman" w:cs="Times New Roman"/>
        </w:rPr>
        <w:t xml:space="preserve">, </w:t>
      </w:r>
      <w:r>
        <w:rPr>
          <w:rFonts w:ascii="Times New Roman" w:hAnsi="Times New Roman" w:cs="Times New Roman"/>
        </w:rPr>
        <w:t>the red curve is upwardly sloping for the victory graph (</w:t>
      </w:r>
      <w:r w:rsidRPr="002B7FF8">
        <w:rPr>
          <w:rFonts w:ascii="Times New Roman" w:hAnsi="Times New Roman" w:cs="Times New Roman"/>
          <w:i/>
        </w:rPr>
        <w:t>p</w:t>
      </w:r>
      <w:r w:rsidRPr="004D4FD7">
        <w:rPr>
          <w:rFonts w:ascii="Times New Roman" w:hAnsi="Times New Roman" w:cs="Times New Roman"/>
        </w:rPr>
        <w:t>&lt;</w:t>
      </w:r>
      <w:proofErr w:type="gramStart"/>
      <w:r w:rsidRPr="004D4FD7">
        <w:rPr>
          <w:rFonts w:ascii="Times New Roman" w:hAnsi="Times New Roman" w:cs="Times New Roman"/>
        </w:rPr>
        <w:t>.01</w:t>
      </w:r>
      <w:proofErr w:type="gramEnd"/>
      <w:r>
        <w:rPr>
          <w:rFonts w:ascii="Times New Roman" w:hAnsi="Times New Roman" w:cs="Times New Roman"/>
        </w:rPr>
        <w:t>)</w:t>
      </w:r>
      <w:r w:rsidRPr="004D4FD7">
        <w:rPr>
          <w:rFonts w:ascii="Times New Roman" w:hAnsi="Times New Roman" w:cs="Times New Roman"/>
        </w:rPr>
        <w:t xml:space="preserve">. </w:t>
      </w:r>
      <w:r>
        <w:rPr>
          <w:rFonts w:ascii="Times New Roman" w:hAnsi="Times New Roman" w:cs="Times New Roman"/>
        </w:rPr>
        <w:t>A</w:t>
      </w:r>
      <w:r w:rsidRPr="004D4FD7">
        <w:rPr>
          <w:rFonts w:ascii="Times New Roman" w:hAnsi="Times New Roman" w:cs="Times New Roman"/>
        </w:rPr>
        <w:t xml:space="preserve">s expected, the </w:t>
      </w:r>
      <w:r>
        <w:rPr>
          <w:rFonts w:ascii="Times New Roman" w:hAnsi="Times New Roman" w:cs="Times New Roman"/>
        </w:rPr>
        <w:t>green</w:t>
      </w:r>
      <w:r w:rsidRPr="004D4FD7">
        <w:rPr>
          <w:rFonts w:ascii="Times New Roman" w:hAnsi="Times New Roman" w:cs="Times New Roman"/>
        </w:rPr>
        <w:t xml:space="preserve"> curves </w:t>
      </w:r>
      <w:r>
        <w:rPr>
          <w:rFonts w:ascii="Times New Roman" w:hAnsi="Times New Roman" w:cs="Times New Roman"/>
        </w:rPr>
        <w:t>are</w:t>
      </w:r>
      <w:r w:rsidRPr="004D4FD7">
        <w:rPr>
          <w:rFonts w:ascii="Times New Roman" w:hAnsi="Times New Roman" w:cs="Times New Roman"/>
        </w:rPr>
        <w:t xml:space="preserve"> considerably shallower and statistically insignificant. In short, </w:t>
      </w:r>
      <w:r>
        <w:rPr>
          <w:rFonts w:ascii="Times New Roman" w:hAnsi="Times New Roman" w:cs="Times New Roman"/>
        </w:rPr>
        <w:t xml:space="preserve">per Appendix H2, </w:t>
      </w:r>
      <w:r w:rsidRPr="004D4FD7">
        <w:rPr>
          <w:rFonts w:ascii="Times New Roman" w:hAnsi="Times New Roman" w:cs="Times New Roman"/>
        </w:rPr>
        <w:t xml:space="preserve">increased media access is indeed associated with </w:t>
      </w:r>
      <w:r>
        <w:rPr>
          <w:rFonts w:ascii="Times New Roman" w:hAnsi="Times New Roman" w:cs="Times New Roman"/>
        </w:rPr>
        <w:t xml:space="preserve">an increased probability of victory, albeit again, as Appendix H3 predicts, only for high party states. Moreover, these effects </w:t>
      </w:r>
      <w:r w:rsidRPr="00F20754">
        <w:rPr>
          <w:rFonts w:ascii="Times New Roman" w:hAnsi="Times New Roman" w:cs="Times New Roman"/>
        </w:rPr>
        <w:t xml:space="preserve">become </w:t>
      </w:r>
      <w:r>
        <w:rPr>
          <w:rFonts w:ascii="Times New Roman" w:hAnsi="Times New Roman" w:cs="Times New Roman"/>
        </w:rPr>
        <w:t xml:space="preserve">statistically </w:t>
      </w:r>
      <w:r w:rsidRPr="00F20754">
        <w:rPr>
          <w:rFonts w:ascii="Times New Roman" w:hAnsi="Times New Roman" w:cs="Times New Roman"/>
        </w:rPr>
        <w:t xml:space="preserve">distinguishable </w:t>
      </w:r>
      <w:r>
        <w:rPr>
          <w:rFonts w:ascii="Times New Roman" w:hAnsi="Times New Roman" w:cs="Times New Roman"/>
        </w:rPr>
        <w:t>only when media access exceeds</w:t>
      </w:r>
      <w:r w:rsidRPr="00F20754">
        <w:rPr>
          <w:rFonts w:ascii="Times New Roman" w:hAnsi="Times New Roman" w:cs="Times New Roman"/>
        </w:rPr>
        <w:t xml:space="preserve"> </w:t>
      </w:r>
      <w:r>
        <w:rPr>
          <w:rFonts w:ascii="Times New Roman" w:hAnsi="Times New Roman" w:cs="Times New Roman"/>
        </w:rPr>
        <w:t>about one television per 2.5 residents, which is just above the overall mean among democracies in our data (about one TV per 2.8 residents).</w:t>
      </w:r>
    </w:p>
    <w:p w14:paraId="2265BDAA" w14:textId="77777777" w:rsidR="004013A1" w:rsidRDefault="004013A1" w:rsidP="004013A1">
      <w:pPr>
        <w:spacing w:line="480" w:lineRule="auto"/>
        <w:ind w:firstLine="720"/>
        <w:rPr>
          <w:rFonts w:ascii="Times New Roman" w:hAnsi="Times New Roman" w:cs="Times New Roman"/>
        </w:rPr>
      </w:pPr>
      <w:r>
        <w:rPr>
          <w:rFonts w:ascii="Times New Roman" w:hAnsi="Times New Roman" w:cs="Times New Roman"/>
        </w:rPr>
        <w:t>These are substantial effects. Appendix Table 4 indicates that for high ENPP countries the shift from low to high media access corresponds with a 0.35 (</w:t>
      </w:r>
      <w:r w:rsidRPr="00A26842">
        <w:rPr>
          <w:rFonts w:ascii="Times New Roman" w:hAnsi="Times New Roman" w:cs="Times New Roman"/>
          <w:i/>
        </w:rPr>
        <w:t>p</w:t>
      </w:r>
      <w:r>
        <w:rPr>
          <w:rFonts w:ascii="Times New Roman" w:hAnsi="Times New Roman" w:cs="Times New Roman"/>
        </w:rPr>
        <w:t>&lt;</w:t>
      </w:r>
      <w:proofErr w:type="gramStart"/>
      <w:r>
        <w:rPr>
          <w:rFonts w:ascii="Times New Roman" w:hAnsi="Times New Roman" w:cs="Times New Roman"/>
        </w:rPr>
        <w:t>.05</w:t>
      </w:r>
      <w:proofErr w:type="gramEnd"/>
      <w:r>
        <w:rPr>
          <w:rFonts w:ascii="Times New Roman" w:hAnsi="Times New Roman" w:cs="Times New Roman"/>
        </w:rPr>
        <w:t>) increase in the probability of victory. For high ENEP states the effect is similar – a 0.2 (</w:t>
      </w:r>
      <w:r w:rsidRPr="00A26842">
        <w:rPr>
          <w:rFonts w:ascii="Times New Roman" w:hAnsi="Times New Roman" w:cs="Times New Roman"/>
          <w:i/>
        </w:rPr>
        <w:t>p</w:t>
      </w:r>
      <w:r>
        <w:rPr>
          <w:rFonts w:ascii="Times New Roman" w:hAnsi="Times New Roman" w:cs="Times New Roman"/>
        </w:rPr>
        <w:t>&lt;</w:t>
      </w:r>
      <w:proofErr w:type="gramStart"/>
      <w:r>
        <w:rPr>
          <w:rFonts w:ascii="Times New Roman" w:hAnsi="Times New Roman" w:cs="Times New Roman"/>
        </w:rPr>
        <w:t>.01</w:t>
      </w:r>
      <w:proofErr w:type="gramEnd"/>
      <w:r>
        <w:rPr>
          <w:rFonts w:ascii="Times New Roman" w:hAnsi="Times New Roman" w:cs="Times New Roman"/>
        </w:rPr>
        <w:t xml:space="preserve">) increase in the probability of victory as a hypothetical state shifts from low to high media access. Consistent with Appendix H3, these substantial results are apparent </w:t>
      </w:r>
      <w:proofErr w:type="gramStart"/>
      <w:r>
        <w:rPr>
          <w:rFonts w:ascii="Times New Roman" w:hAnsi="Times New Roman" w:cs="Times New Roman"/>
        </w:rPr>
        <w:t>only  for</w:t>
      </w:r>
      <w:proofErr w:type="gramEnd"/>
      <w:r>
        <w:rPr>
          <w:rFonts w:ascii="Times New Roman" w:hAnsi="Times New Roman" w:cs="Times New Roman"/>
        </w:rPr>
        <w:t xml:space="preserve"> high opposition states. In contrast, when opposition is low the change in probability is small and insignificant. </w:t>
      </w:r>
    </w:p>
    <w:p w14:paraId="3429F627" w14:textId="77777777" w:rsidR="004013A1" w:rsidRDefault="004013A1" w:rsidP="004013A1">
      <w:pPr>
        <w:spacing w:line="480" w:lineRule="auto"/>
        <w:ind w:firstLine="720"/>
        <w:jc w:val="center"/>
        <w:rPr>
          <w:rFonts w:ascii="Times New Roman" w:hAnsi="Times New Roman" w:cs="Times New Roman"/>
        </w:rPr>
      </w:pPr>
      <w:r>
        <w:rPr>
          <w:rFonts w:ascii="Times New Roman" w:hAnsi="Times New Roman" w:cs="Times New Roman"/>
        </w:rPr>
        <w:t>[Appendix Table 5 here]</w:t>
      </w:r>
    </w:p>
    <w:p w14:paraId="48D51660" w14:textId="77777777" w:rsidR="004013A1" w:rsidRDefault="004013A1" w:rsidP="004013A1">
      <w:pPr>
        <w:spacing w:line="480" w:lineRule="auto"/>
        <w:ind w:firstLine="720"/>
        <w:rPr>
          <w:rFonts w:ascii="Times New Roman" w:hAnsi="Times New Roman" w:cs="Times New Roman"/>
        </w:rPr>
      </w:pPr>
      <w:r w:rsidRPr="00B16C04">
        <w:rPr>
          <w:rFonts w:ascii="Times New Roman" w:hAnsi="Times New Roman" w:cs="Times New Roman"/>
        </w:rPr>
        <w:t xml:space="preserve">In sum, </w:t>
      </w:r>
      <w:r w:rsidRPr="00A26842">
        <w:rPr>
          <w:rFonts w:ascii="Times New Roman" w:hAnsi="Times New Roman" w:cs="Times New Roman"/>
        </w:rPr>
        <w:t xml:space="preserve">the intuition behind the results for victory mirror those generated by the analysis of both reciprocation of MID initiations and </w:t>
      </w:r>
      <w:proofErr w:type="spellStart"/>
      <w:r w:rsidRPr="00A26842">
        <w:rPr>
          <w:rFonts w:ascii="Times New Roman" w:hAnsi="Times New Roman" w:cs="Times New Roman"/>
        </w:rPr>
        <w:t>compellent</w:t>
      </w:r>
      <w:proofErr w:type="spellEnd"/>
      <w:r w:rsidRPr="00A26842">
        <w:rPr>
          <w:rFonts w:ascii="Times New Roman" w:hAnsi="Times New Roman" w:cs="Times New Roman"/>
        </w:rPr>
        <w:t xml:space="preserve"> threats in the main paper. States that have an independent opposition, which is able to blow the whistle when leaders fail, as well as the media access needed to get this message to the populace, appear to carry their advantage through the entire conflict process. This eventually manifests itself in the final outcome as a higher probability of victory. </w:t>
      </w:r>
    </w:p>
    <w:p w14:paraId="6ACEC126" w14:textId="39FEC025" w:rsidR="004013A1" w:rsidRDefault="004013A1" w:rsidP="00D20E74">
      <w:pPr>
        <w:spacing w:line="480" w:lineRule="auto"/>
        <w:ind w:firstLine="720"/>
        <w:rPr>
          <w:rFonts w:ascii="Times New Roman" w:hAnsi="Times New Roman" w:cs="Times New Roman"/>
        </w:rPr>
      </w:pPr>
      <w:r>
        <w:rPr>
          <w:rFonts w:ascii="Times New Roman" w:hAnsi="Times New Roman" w:cs="Times New Roman"/>
        </w:rPr>
        <w:t>The fact that the mechanisms that we argue differentiate democracies who are able to generate credibility from those who ca</w:t>
      </w:r>
      <w:bookmarkStart w:id="0" w:name="_GoBack"/>
      <w:bookmarkEnd w:id="0"/>
      <w:r>
        <w:rPr>
          <w:rFonts w:ascii="Times New Roman" w:hAnsi="Times New Roman" w:cs="Times New Roman"/>
        </w:rPr>
        <w:t xml:space="preserve">nnot translate clearly when explored in the context of this this alternative dependent variable should serve to increase confidence that the proposed theoretical mechanism has real implications. </w:t>
      </w:r>
    </w:p>
    <w:p w14:paraId="345EB0C5" w14:textId="7D1E1638" w:rsidR="004013A1" w:rsidRPr="00D20E74" w:rsidRDefault="004013A1" w:rsidP="00D20E74">
      <w:pPr>
        <w:rPr>
          <w:rFonts w:ascii="Times New Roman" w:hAnsi="Times New Roman" w:cs="Times New Roman"/>
        </w:rPr>
      </w:pPr>
      <w:r>
        <w:rPr>
          <w:rFonts w:ascii="Times New Roman" w:hAnsi="Times New Roman" w:cs="Times New Roman"/>
        </w:rPr>
        <w:br w:type="page"/>
      </w:r>
      <w:r w:rsidRPr="00AC1BC0">
        <w:rPr>
          <w:rFonts w:ascii="Times New Roman" w:hAnsi="Times New Roman" w:cs="Times New Roman"/>
          <w:b/>
        </w:rPr>
        <w:t>Appendix Tables and Figures</w:t>
      </w:r>
    </w:p>
    <w:tbl>
      <w:tblPr>
        <w:tblW w:w="0" w:type="auto"/>
        <w:tblInd w:w="-72" w:type="dxa"/>
        <w:tblLayout w:type="fixed"/>
        <w:tblLook w:val="04A0" w:firstRow="1" w:lastRow="0" w:firstColumn="1" w:lastColumn="0" w:noHBand="0" w:noVBand="1"/>
      </w:tblPr>
      <w:tblGrid>
        <w:gridCol w:w="2868"/>
        <w:gridCol w:w="1564"/>
        <w:gridCol w:w="1564"/>
        <w:gridCol w:w="1564"/>
      </w:tblGrid>
      <w:tr w:rsidR="004013A1" w:rsidRPr="002B1EA9" w14:paraId="1AD76F77" w14:textId="77777777" w:rsidTr="00975134">
        <w:tc>
          <w:tcPr>
            <w:tcW w:w="7560" w:type="dxa"/>
            <w:gridSpan w:val="4"/>
            <w:tcBorders>
              <w:bottom w:val="single" w:sz="4" w:space="0" w:color="auto"/>
            </w:tcBorders>
            <w:shd w:val="clear" w:color="auto" w:fill="auto"/>
            <w:noWrap/>
            <w:vAlign w:val="bottom"/>
          </w:tcPr>
          <w:p w14:paraId="2FB055C7" w14:textId="77777777" w:rsidR="004013A1" w:rsidRPr="000C046C" w:rsidRDefault="004013A1" w:rsidP="00975134">
            <w:p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APPENDIX </w:t>
            </w:r>
            <w:r w:rsidRPr="000C046C">
              <w:rPr>
                <w:rFonts w:ascii="Times New Roman" w:eastAsia="Times New Roman" w:hAnsi="Times New Roman" w:cs="Times New Roman"/>
                <w:sz w:val="22"/>
                <w:szCs w:val="22"/>
              </w:rPr>
              <w:t xml:space="preserve">TABLE </w:t>
            </w:r>
            <w:r>
              <w:rPr>
                <w:rFonts w:ascii="Times New Roman" w:eastAsia="Times New Roman" w:hAnsi="Times New Roman" w:cs="Times New Roman"/>
                <w:sz w:val="22"/>
                <w:szCs w:val="22"/>
              </w:rPr>
              <w:t>1</w:t>
            </w:r>
            <w:r w:rsidRPr="000C046C">
              <w:rPr>
                <w:rFonts w:ascii="Times New Roman" w:eastAsia="Times New Roman" w:hAnsi="Times New Roman" w:cs="Times New Roman"/>
                <w:sz w:val="22"/>
                <w:szCs w:val="22"/>
              </w:rPr>
              <w:t xml:space="preserve">. Ordered and Unordered Multinomial </w:t>
            </w:r>
            <w:proofErr w:type="spellStart"/>
            <w:r w:rsidRPr="000C046C">
              <w:rPr>
                <w:rFonts w:ascii="Times New Roman" w:eastAsia="Times New Roman" w:hAnsi="Times New Roman" w:cs="Times New Roman"/>
                <w:sz w:val="22"/>
                <w:szCs w:val="22"/>
              </w:rPr>
              <w:t>Logit</w:t>
            </w:r>
            <w:proofErr w:type="spellEnd"/>
            <w:r w:rsidRPr="000C046C">
              <w:rPr>
                <w:rFonts w:ascii="Times New Roman" w:eastAsia="Times New Roman" w:hAnsi="Times New Roman" w:cs="Times New Roman"/>
                <w:sz w:val="22"/>
                <w:szCs w:val="22"/>
              </w:rPr>
              <w:t xml:space="preserve"> Analyses of Effects of Variations in Parties and Media Access on Dispute Reciprocation</w:t>
            </w:r>
          </w:p>
        </w:tc>
      </w:tr>
      <w:tr w:rsidR="004013A1" w:rsidRPr="006715F5" w14:paraId="688A0F55" w14:textId="77777777" w:rsidTr="00975134">
        <w:trPr>
          <w:trHeight w:val="98"/>
        </w:trPr>
        <w:tc>
          <w:tcPr>
            <w:tcW w:w="2868" w:type="dxa"/>
            <w:tcBorders>
              <w:top w:val="single" w:sz="4" w:space="0" w:color="auto"/>
            </w:tcBorders>
            <w:shd w:val="clear" w:color="auto" w:fill="auto"/>
            <w:noWrap/>
            <w:vAlign w:val="bottom"/>
            <w:hideMark/>
          </w:tcPr>
          <w:p w14:paraId="55DBD63C"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tcBorders>
              <w:top w:val="single" w:sz="4" w:space="0" w:color="auto"/>
            </w:tcBorders>
            <w:shd w:val="clear" w:color="auto" w:fill="auto"/>
            <w:noWrap/>
            <w:vAlign w:val="bottom"/>
            <w:hideMark/>
          </w:tcPr>
          <w:p w14:paraId="6DB6A9DD" w14:textId="77777777" w:rsidR="004013A1" w:rsidRPr="000C046C" w:rsidRDefault="004013A1" w:rsidP="00975134">
            <w:pPr>
              <w:keepNext/>
              <w:keepLines/>
              <w:contextualSpacing/>
              <w:jc w:val="center"/>
              <w:outlineLvl w:val="4"/>
              <w:rPr>
                <w:rFonts w:ascii="Times New Roman" w:eastAsia="Times New Roman" w:hAnsi="Times New Roman" w:cs="Times New Roman"/>
                <w:i/>
                <w:sz w:val="22"/>
                <w:szCs w:val="22"/>
              </w:rPr>
            </w:pPr>
            <w:r w:rsidRPr="000C046C">
              <w:rPr>
                <w:rFonts w:ascii="Times New Roman" w:eastAsia="Times New Roman" w:hAnsi="Times New Roman" w:cs="Times New Roman"/>
                <w:i/>
                <w:sz w:val="22"/>
                <w:szCs w:val="22"/>
              </w:rPr>
              <w:t xml:space="preserve">Ordered </w:t>
            </w:r>
            <w:proofErr w:type="spellStart"/>
            <w:r w:rsidRPr="000C046C">
              <w:rPr>
                <w:rFonts w:ascii="Times New Roman" w:eastAsia="Times New Roman" w:hAnsi="Times New Roman" w:cs="Times New Roman"/>
                <w:i/>
                <w:sz w:val="22"/>
                <w:szCs w:val="22"/>
              </w:rPr>
              <w:t>Logit</w:t>
            </w:r>
            <w:proofErr w:type="spellEnd"/>
          </w:p>
        </w:tc>
        <w:tc>
          <w:tcPr>
            <w:tcW w:w="3128" w:type="dxa"/>
            <w:gridSpan w:val="2"/>
            <w:tcBorders>
              <w:top w:val="single" w:sz="4" w:space="0" w:color="auto"/>
            </w:tcBorders>
            <w:shd w:val="clear" w:color="auto" w:fill="auto"/>
            <w:noWrap/>
            <w:vAlign w:val="bottom"/>
            <w:hideMark/>
          </w:tcPr>
          <w:p w14:paraId="139F7CF9" w14:textId="77777777" w:rsidR="004013A1" w:rsidRPr="000C046C" w:rsidRDefault="004013A1" w:rsidP="00975134">
            <w:pPr>
              <w:keepNext/>
              <w:keepLines/>
              <w:contextualSpacing/>
              <w:jc w:val="center"/>
              <w:outlineLvl w:val="4"/>
              <w:rPr>
                <w:rFonts w:ascii="Times New Roman" w:eastAsia="Times New Roman" w:hAnsi="Times New Roman" w:cs="Times New Roman"/>
                <w:i/>
                <w:sz w:val="22"/>
                <w:szCs w:val="22"/>
                <w:vertAlign w:val="superscript"/>
              </w:rPr>
            </w:pPr>
            <w:r w:rsidRPr="000C046C">
              <w:rPr>
                <w:rFonts w:ascii="Times New Roman" w:eastAsia="Times New Roman" w:hAnsi="Times New Roman" w:cs="Times New Roman"/>
                <w:i/>
                <w:sz w:val="22"/>
                <w:szCs w:val="22"/>
              </w:rPr>
              <w:t xml:space="preserve">Multinomial </w:t>
            </w:r>
            <w:proofErr w:type="spellStart"/>
            <w:r w:rsidRPr="000C046C">
              <w:rPr>
                <w:rFonts w:ascii="Times New Roman" w:eastAsia="Times New Roman" w:hAnsi="Times New Roman" w:cs="Times New Roman"/>
                <w:i/>
                <w:sz w:val="22"/>
                <w:szCs w:val="22"/>
              </w:rPr>
              <w:t>Logit</w:t>
            </w:r>
            <w:r w:rsidRPr="000C046C">
              <w:rPr>
                <w:rFonts w:ascii="Times New Roman" w:eastAsia="Times New Roman" w:hAnsi="Times New Roman" w:cs="Times New Roman"/>
                <w:i/>
                <w:sz w:val="22"/>
                <w:szCs w:val="22"/>
                <w:vertAlign w:val="superscript"/>
              </w:rPr>
              <w:t>a</w:t>
            </w:r>
            <w:proofErr w:type="spellEnd"/>
          </w:p>
        </w:tc>
      </w:tr>
      <w:tr w:rsidR="004013A1" w:rsidRPr="006715F5" w14:paraId="49202217" w14:textId="77777777" w:rsidTr="00975134">
        <w:trPr>
          <w:trHeight w:val="440"/>
        </w:trPr>
        <w:tc>
          <w:tcPr>
            <w:tcW w:w="2868" w:type="dxa"/>
            <w:tcBorders>
              <w:bottom w:val="double" w:sz="4" w:space="0" w:color="auto"/>
            </w:tcBorders>
            <w:shd w:val="clear" w:color="auto" w:fill="auto"/>
            <w:noWrap/>
            <w:vAlign w:val="bottom"/>
            <w:hideMark/>
          </w:tcPr>
          <w:p w14:paraId="137B1689"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tcBorders>
              <w:bottom w:val="double" w:sz="4" w:space="0" w:color="auto"/>
            </w:tcBorders>
            <w:shd w:val="clear" w:color="auto" w:fill="auto"/>
            <w:noWrap/>
            <w:vAlign w:val="bottom"/>
            <w:hideMark/>
          </w:tcPr>
          <w:p w14:paraId="741C3366" w14:textId="77777777" w:rsidR="004013A1" w:rsidRPr="000C046C" w:rsidRDefault="004013A1" w:rsidP="00975134">
            <w:pPr>
              <w:contextualSpacing/>
              <w:jc w:val="center"/>
              <w:rPr>
                <w:rFonts w:ascii="Times New Roman" w:eastAsia="Times New Roman" w:hAnsi="Times New Roman" w:cs="Times New Roman"/>
                <w:sz w:val="22"/>
                <w:szCs w:val="22"/>
              </w:rPr>
            </w:pPr>
          </w:p>
        </w:tc>
        <w:tc>
          <w:tcPr>
            <w:tcW w:w="1564" w:type="dxa"/>
            <w:tcBorders>
              <w:bottom w:val="double" w:sz="4" w:space="0" w:color="auto"/>
            </w:tcBorders>
            <w:shd w:val="clear" w:color="auto" w:fill="auto"/>
            <w:noWrap/>
            <w:vAlign w:val="bottom"/>
            <w:hideMark/>
          </w:tcPr>
          <w:p w14:paraId="78ECC1A5"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Non-violent Reciprocation</w:t>
            </w:r>
          </w:p>
        </w:tc>
        <w:tc>
          <w:tcPr>
            <w:tcW w:w="1564" w:type="dxa"/>
            <w:tcBorders>
              <w:bottom w:val="double" w:sz="4" w:space="0" w:color="auto"/>
            </w:tcBorders>
            <w:shd w:val="clear" w:color="auto" w:fill="auto"/>
            <w:noWrap/>
            <w:vAlign w:val="bottom"/>
            <w:hideMark/>
          </w:tcPr>
          <w:p w14:paraId="2DCDBEDE" w14:textId="77777777" w:rsidR="004013A1" w:rsidRPr="000C046C" w:rsidRDefault="004013A1" w:rsidP="00975134">
            <w:pPr>
              <w:keepNext/>
              <w:keepLines/>
              <w:spacing w:before="200"/>
              <w:contextualSpacing/>
              <w:jc w:val="center"/>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Violent Reciprocation</w:t>
            </w:r>
          </w:p>
        </w:tc>
      </w:tr>
      <w:tr w:rsidR="004013A1" w:rsidRPr="006715F5" w14:paraId="165D959D" w14:textId="77777777" w:rsidTr="00975134">
        <w:trPr>
          <w:trHeight w:val="207"/>
        </w:trPr>
        <w:tc>
          <w:tcPr>
            <w:tcW w:w="2868" w:type="dxa"/>
            <w:tcBorders>
              <w:top w:val="double" w:sz="4" w:space="0" w:color="auto"/>
            </w:tcBorders>
            <w:shd w:val="clear" w:color="auto" w:fill="auto"/>
            <w:noWrap/>
            <w:vAlign w:val="bottom"/>
            <w:hideMark/>
          </w:tcPr>
          <w:p w14:paraId="70C8A538"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ENPP</w:t>
            </w:r>
          </w:p>
        </w:tc>
        <w:tc>
          <w:tcPr>
            <w:tcW w:w="1564" w:type="dxa"/>
            <w:tcBorders>
              <w:top w:val="double" w:sz="4" w:space="0" w:color="auto"/>
            </w:tcBorders>
            <w:shd w:val="clear" w:color="auto" w:fill="auto"/>
            <w:noWrap/>
            <w:vAlign w:val="bottom"/>
            <w:hideMark/>
          </w:tcPr>
          <w:p w14:paraId="5C773F8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0.422+</w:t>
            </w:r>
          </w:p>
        </w:tc>
        <w:tc>
          <w:tcPr>
            <w:tcW w:w="1564" w:type="dxa"/>
            <w:tcBorders>
              <w:top w:val="double" w:sz="4" w:space="0" w:color="auto"/>
            </w:tcBorders>
            <w:shd w:val="clear" w:color="auto" w:fill="auto"/>
            <w:noWrap/>
            <w:vAlign w:val="bottom"/>
            <w:hideMark/>
          </w:tcPr>
          <w:p w14:paraId="65CC93A0"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-0.0139</w:t>
            </w:r>
          </w:p>
        </w:tc>
        <w:tc>
          <w:tcPr>
            <w:tcW w:w="1564" w:type="dxa"/>
            <w:tcBorders>
              <w:top w:val="double" w:sz="4" w:space="0" w:color="auto"/>
            </w:tcBorders>
            <w:shd w:val="clear" w:color="auto" w:fill="auto"/>
            <w:noWrap/>
            <w:vAlign w:val="bottom"/>
            <w:hideMark/>
          </w:tcPr>
          <w:p w14:paraId="744857C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0.445+</w:t>
            </w:r>
          </w:p>
        </w:tc>
      </w:tr>
      <w:tr w:rsidR="004013A1" w:rsidRPr="006715F5" w14:paraId="4DF24D33" w14:textId="77777777" w:rsidTr="00975134">
        <w:tc>
          <w:tcPr>
            <w:tcW w:w="2868" w:type="dxa"/>
            <w:shd w:val="clear" w:color="auto" w:fill="auto"/>
            <w:noWrap/>
            <w:vAlign w:val="bottom"/>
            <w:hideMark/>
          </w:tcPr>
          <w:p w14:paraId="1F4173CA"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2D03D85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(0.228)</w:t>
            </w:r>
          </w:p>
        </w:tc>
        <w:tc>
          <w:tcPr>
            <w:tcW w:w="1564" w:type="dxa"/>
            <w:shd w:val="clear" w:color="auto" w:fill="auto"/>
            <w:noWrap/>
            <w:vAlign w:val="bottom"/>
            <w:hideMark/>
          </w:tcPr>
          <w:p w14:paraId="0790224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(0.405)</w:t>
            </w:r>
          </w:p>
        </w:tc>
        <w:tc>
          <w:tcPr>
            <w:tcW w:w="1564" w:type="dxa"/>
            <w:shd w:val="clear" w:color="auto" w:fill="auto"/>
            <w:noWrap/>
            <w:vAlign w:val="bottom"/>
            <w:hideMark/>
          </w:tcPr>
          <w:p w14:paraId="3F80DEDB"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(0.266)</w:t>
            </w:r>
          </w:p>
        </w:tc>
      </w:tr>
      <w:tr w:rsidR="004013A1" w:rsidRPr="006715F5" w14:paraId="5D6D95AC" w14:textId="77777777" w:rsidTr="00975134">
        <w:tc>
          <w:tcPr>
            <w:tcW w:w="2868" w:type="dxa"/>
            <w:shd w:val="clear" w:color="auto" w:fill="auto"/>
            <w:noWrap/>
            <w:vAlign w:val="bottom"/>
            <w:hideMark/>
          </w:tcPr>
          <w:p w14:paraId="63888EF8"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TV Access</w:t>
            </w:r>
          </w:p>
        </w:tc>
        <w:tc>
          <w:tcPr>
            <w:tcW w:w="1564" w:type="dxa"/>
            <w:shd w:val="clear" w:color="auto" w:fill="auto"/>
            <w:noWrap/>
            <w:vAlign w:val="bottom"/>
            <w:hideMark/>
          </w:tcPr>
          <w:p w14:paraId="08E19A1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0.00448</w:t>
            </w:r>
          </w:p>
        </w:tc>
        <w:tc>
          <w:tcPr>
            <w:tcW w:w="1564" w:type="dxa"/>
            <w:shd w:val="clear" w:color="auto" w:fill="auto"/>
            <w:noWrap/>
            <w:vAlign w:val="bottom"/>
            <w:hideMark/>
          </w:tcPr>
          <w:p w14:paraId="51E0F73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0.00104</w:t>
            </w:r>
          </w:p>
        </w:tc>
        <w:tc>
          <w:tcPr>
            <w:tcW w:w="1564" w:type="dxa"/>
            <w:shd w:val="clear" w:color="auto" w:fill="auto"/>
            <w:noWrap/>
            <w:vAlign w:val="bottom"/>
            <w:hideMark/>
          </w:tcPr>
          <w:p w14:paraId="3E79B04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0.00423</w:t>
            </w:r>
          </w:p>
        </w:tc>
      </w:tr>
      <w:tr w:rsidR="004013A1" w:rsidRPr="006715F5" w14:paraId="039F0755" w14:textId="77777777" w:rsidTr="00975134">
        <w:tc>
          <w:tcPr>
            <w:tcW w:w="2868" w:type="dxa"/>
            <w:shd w:val="clear" w:color="auto" w:fill="auto"/>
            <w:noWrap/>
            <w:vAlign w:val="bottom"/>
            <w:hideMark/>
          </w:tcPr>
          <w:p w14:paraId="5013D28E"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23818115"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(0.00283)</w:t>
            </w:r>
          </w:p>
        </w:tc>
        <w:tc>
          <w:tcPr>
            <w:tcW w:w="1564" w:type="dxa"/>
            <w:shd w:val="clear" w:color="auto" w:fill="auto"/>
            <w:noWrap/>
            <w:vAlign w:val="bottom"/>
            <w:hideMark/>
          </w:tcPr>
          <w:p w14:paraId="3A41C0E5"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(0.00450)</w:t>
            </w:r>
          </w:p>
        </w:tc>
        <w:tc>
          <w:tcPr>
            <w:tcW w:w="1564" w:type="dxa"/>
            <w:shd w:val="clear" w:color="auto" w:fill="auto"/>
            <w:noWrap/>
            <w:vAlign w:val="bottom"/>
            <w:hideMark/>
          </w:tcPr>
          <w:p w14:paraId="0791E8DC"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(0.00319)</w:t>
            </w:r>
          </w:p>
        </w:tc>
      </w:tr>
      <w:tr w:rsidR="004013A1" w:rsidRPr="006715F5" w14:paraId="01D7B78D" w14:textId="77777777" w:rsidTr="00975134">
        <w:tc>
          <w:tcPr>
            <w:tcW w:w="2868" w:type="dxa"/>
            <w:shd w:val="clear" w:color="auto" w:fill="auto"/>
            <w:noWrap/>
            <w:vAlign w:val="bottom"/>
            <w:hideMark/>
          </w:tcPr>
          <w:p w14:paraId="06E8FF54"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ENPP x TV Access</w:t>
            </w:r>
          </w:p>
        </w:tc>
        <w:tc>
          <w:tcPr>
            <w:tcW w:w="1564" w:type="dxa"/>
            <w:shd w:val="clear" w:color="auto" w:fill="auto"/>
            <w:noWrap/>
            <w:vAlign w:val="bottom"/>
            <w:hideMark/>
          </w:tcPr>
          <w:p w14:paraId="3397FCE1"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-0.00282**</w:t>
            </w:r>
          </w:p>
        </w:tc>
        <w:tc>
          <w:tcPr>
            <w:tcW w:w="1564" w:type="dxa"/>
            <w:shd w:val="clear" w:color="auto" w:fill="auto"/>
            <w:noWrap/>
            <w:vAlign w:val="bottom"/>
            <w:hideMark/>
          </w:tcPr>
          <w:p w14:paraId="68CD0287"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-0.00153</w:t>
            </w:r>
          </w:p>
        </w:tc>
        <w:tc>
          <w:tcPr>
            <w:tcW w:w="1564" w:type="dxa"/>
            <w:shd w:val="clear" w:color="auto" w:fill="auto"/>
            <w:noWrap/>
            <w:vAlign w:val="bottom"/>
            <w:hideMark/>
          </w:tcPr>
          <w:p w14:paraId="1BE6D720"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-0.00293**</w:t>
            </w:r>
          </w:p>
        </w:tc>
      </w:tr>
      <w:tr w:rsidR="004013A1" w:rsidRPr="006715F5" w14:paraId="223A69BE" w14:textId="77777777" w:rsidTr="00975134">
        <w:tc>
          <w:tcPr>
            <w:tcW w:w="2868" w:type="dxa"/>
            <w:shd w:val="clear" w:color="auto" w:fill="auto"/>
            <w:noWrap/>
            <w:vAlign w:val="bottom"/>
            <w:hideMark/>
          </w:tcPr>
          <w:p w14:paraId="4BA9564B"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3A604C52"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(0.000934)</w:t>
            </w:r>
          </w:p>
        </w:tc>
        <w:tc>
          <w:tcPr>
            <w:tcW w:w="1564" w:type="dxa"/>
            <w:shd w:val="clear" w:color="auto" w:fill="auto"/>
            <w:noWrap/>
            <w:vAlign w:val="bottom"/>
            <w:hideMark/>
          </w:tcPr>
          <w:p w14:paraId="1B5CC4C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(0.00161)</w:t>
            </w:r>
          </w:p>
        </w:tc>
        <w:tc>
          <w:tcPr>
            <w:tcW w:w="1564" w:type="dxa"/>
            <w:shd w:val="clear" w:color="auto" w:fill="auto"/>
            <w:noWrap/>
            <w:vAlign w:val="bottom"/>
            <w:hideMark/>
          </w:tcPr>
          <w:p w14:paraId="50F6AC3C"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(0.00105)</w:t>
            </w:r>
          </w:p>
        </w:tc>
      </w:tr>
      <w:tr w:rsidR="004013A1" w:rsidRPr="006715F5" w14:paraId="0C6B1042" w14:textId="77777777" w:rsidTr="00975134">
        <w:tc>
          <w:tcPr>
            <w:tcW w:w="2868" w:type="dxa"/>
            <w:shd w:val="clear" w:color="auto" w:fill="auto"/>
            <w:noWrap/>
            <w:vAlign w:val="bottom"/>
            <w:hideMark/>
          </w:tcPr>
          <w:p w14:paraId="35F75FBD"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Child Mortality</w:t>
            </w:r>
          </w:p>
        </w:tc>
        <w:tc>
          <w:tcPr>
            <w:tcW w:w="1564" w:type="dxa"/>
            <w:shd w:val="clear" w:color="auto" w:fill="auto"/>
            <w:noWrap/>
            <w:vAlign w:val="bottom"/>
            <w:hideMark/>
          </w:tcPr>
          <w:p w14:paraId="6E20949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-0.00586</w:t>
            </w:r>
          </w:p>
        </w:tc>
        <w:tc>
          <w:tcPr>
            <w:tcW w:w="1564" w:type="dxa"/>
            <w:shd w:val="clear" w:color="auto" w:fill="auto"/>
            <w:noWrap/>
            <w:vAlign w:val="bottom"/>
            <w:hideMark/>
          </w:tcPr>
          <w:p w14:paraId="72F1A19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-0.000101</w:t>
            </w:r>
          </w:p>
        </w:tc>
        <w:tc>
          <w:tcPr>
            <w:tcW w:w="1564" w:type="dxa"/>
            <w:shd w:val="clear" w:color="auto" w:fill="auto"/>
            <w:noWrap/>
            <w:vAlign w:val="bottom"/>
            <w:hideMark/>
          </w:tcPr>
          <w:p w14:paraId="3AD159B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-0.00759</w:t>
            </w:r>
          </w:p>
        </w:tc>
      </w:tr>
      <w:tr w:rsidR="004013A1" w:rsidRPr="006715F5" w14:paraId="64D401E3" w14:textId="77777777" w:rsidTr="00975134">
        <w:tc>
          <w:tcPr>
            <w:tcW w:w="2868" w:type="dxa"/>
            <w:shd w:val="clear" w:color="auto" w:fill="auto"/>
            <w:noWrap/>
            <w:vAlign w:val="bottom"/>
            <w:hideMark/>
          </w:tcPr>
          <w:p w14:paraId="025B5A7E"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05AB5531"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(0.00532)</w:t>
            </w:r>
          </w:p>
        </w:tc>
        <w:tc>
          <w:tcPr>
            <w:tcW w:w="1564" w:type="dxa"/>
            <w:shd w:val="clear" w:color="auto" w:fill="auto"/>
            <w:noWrap/>
            <w:vAlign w:val="bottom"/>
            <w:hideMark/>
          </w:tcPr>
          <w:p w14:paraId="18EFDBD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(0.00836)</w:t>
            </w:r>
          </w:p>
        </w:tc>
        <w:tc>
          <w:tcPr>
            <w:tcW w:w="1564" w:type="dxa"/>
            <w:shd w:val="clear" w:color="auto" w:fill="auto"/>
            <w:noWrap/>
            <w:vAlign w:val="bottom"/>
            <w:hideMark/>
          </w:tcPr>
          <w:p w14:paraId="44D2C4C8"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(0.00622)</w:t>
            </w:r>
          </w:p>
        </w:tc>
      </w:tr>
      <w:tr w:rsidR="004013A1" w:rsidRPr="006715F5" w14:paraId="2BDBBE27" w14:textId="77777777" w:rsidTr="00975134">
        <w:tc>
          <w:tcPr>
            <w:tcW w:w="2868" w:type="dxa"/>
            <w:shd w:val="clear" w:color="auto" w:fill="auto"/>
            <w:noWrap/>
            <w:vAlign w:val="bottom"/>
            <w:hideMark/>
          </w:tcPr>
          <w:p w14:paraId="34593FBA"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Major-Major Dyad</w:t>
            </w:r>
          </w:p>
        </w:tc>
        <w:tc>
          <w:tcPr>
            <w:tcW w:w="1564" w:type="dxa"/>
            <w:shd w:val="clear" w:color="auto" w:fill="auto"/>
            <w:noWrap/>
            <w:vAlign w:val="bottom"/>
            <w:hideMark/>
          </w:tcPr>
          <w:p w14:paraId="5EEE8960"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-0.443</w:t>
            </w:r>
          </w:p>
        </w:tc>
        <w:tc>
          <w:tcPr>
            <w:tcW w:w="1564" w:type="dxa"/>
            <w:shd w:val="clear" w:color="auto" w:fill="auto"/>
            <w:noWrap/>
            <w:vAlign w:val="bottom"/>
            <w:hideMark/>
          </w:tcPr>
          <w:p w14:paraId="00191AAB"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-14.44***</w:t>
            </w:r>
          </w:p>
        </w:tc>
        <w:tc>
          <w:tcPr>
            <w:tcW w:w="1564" w:type="dxa"/>
            <w:shd w:val="clear" w:color="auto" w:fill="auto"/>
            <w:noWrap/>
            <w:vAlign w:val="bottom"/>
            <w:hideMark/>
          </w:tcPr>
          <w:p w14:paraId="5E20D01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-0.169</w:t>
            </w:r>
          </w:p>
        </w:tc>
      </w:tr>
      <w:tr w:rsidR="004013A1" w:rsidRPr="006715F5" w14:paraId="17C1D6F9" w14:textId="77777777" w:rsidTr="00975134">
        <w:tc>
          <w:tcPr>
            <w:tcW w:w="2868" w:type="dxa"/>
            <w:shd w:val="clear" w:color="auto" w:fill="auto"/>
            <w:noWrap/>
            <w:vAlign w:val="bottom"/>
            <w:hideMark/>
          </w:tcPr>
          <w:p w14:paraId="281A9D56"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2012A471"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(0.991)</w:t>
            </w:r>
          </w:p>
        </w:tc>
        <w:tc>
          <w:tcPr>
            <w:tcW w:w="1564" w:type="dxa"/>
            <w:shd w:val="clear" w:color="auto" w:fill="auto"/>
            <w:noWrap/>
            <w:vAlign w:val="bottom"/>
            <w:hideMark/>
          </w:tcPr>
          <w:p w14:paraId="063B3F5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(1.103)</w:t>
            </w:r>
          </w:p>
        </w:tc>
        <w:tc>
          <w:tcPr>
            <w:tcW w:w="1564" w:type="dxa"/>
            <w:shd w:val="clear" w:color="auto" w:fill="auto"/>
            <w:noWrap/>
            <w:vAlign w:val="bottom"/>
            <w:hideMark/>
          </w:tcPr>
          <w:p w14:paraId="29FADB75"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(0.998)</w:t>
            </w:r>
          </w:p>
        </w:tc>
      </w:tr>
      <w:tr w:rsidR="004013A1" w:rsidRPr="006715F5" w14:paraId="21CB7CB5" w14:textId="77777777" w:rsidTr="00975134">
        <w:tc>
          <w:tcPr>
            <w:tcW w:w="2868" w:type="dxa"/>
            <w:shd w:val="clear" w:color="auto" w:fill="auto"/>
            <w:noWrap/>
            <w:vAlign w:val="bottom"/>
            <w:hideMark/>
          </w:tcPr>
          <w:p w14:paraId="0260BC2B"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Minor-Major Dyad</w:t>
            </w:r>
          </w:p>
        </w:tc>
        <w:tc>
          <w:tcPr>
            <w:tcW w:w="1564" w:type="dxa"/>
            <w:shd w:val="clear" w:color="auto" w:fill="auto"/>
            <w:noWrap/>
            <w:vAlign w:val="bottom"/>
            <w:hideMark/>
          </w:tcPr>
          <w:p w14:paraId="541F697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0.425</w:t>
            </w:r>
          </w:p>
        </w:tc>
        <w:tc>
          <w:tcPr>
            <w:tcW w:w="1564" w:type="dxa"/>
            <w:shd w:val="clear" w:color="auto" w:fill="auto"/>
            <w:noWrap/>
            <w:vAlign w:val="bottom"/>
            <w:hideMark/>
          </w:tcPr>
          <w:p w14:paraId="541D6AF2"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0.0278</w:t>
            </w:r>
          </w:p>
        </w:tc>
        <w:tc>
          <w:tcPr>
            <w:tcW w:w="1564" w:type="dxa"/>
            <w:shd w:val="clear" w:color="auto" w:fill="auto"/>
            <w:noWrap/>
            <w:vAlign w:val="bottom"/>
            <w:hideMark/>
          </w:tcPr>
          <w:p w14:paraId="079CB4A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0.507</w:t>
            </w:r>
          </w:p>
        </w:tc>
      </w:tr>
      <w:tr w:rsidR="004013A1" w:rsidRPr="006715F5" w14:paraId="1ACDDD30" w14:textId="77777777" w:rsidTr="00975134">
        <w:tc>
          <w:tcPr>
            <w:tcW w:w="2868" w:type="dxa"/>
            <w:shd w:val="clear" w:color="auto" w:fill="auto"/>
            <w:noWrap/>
            <w:vAlign w:val="bottom"/>
            <w:hideMark/>
          </w:tcPr>
          <w:p w14:paraId="167BDFE8"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29498AF1"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(0.629)</w:t>
            </w:r>
          </w:p>
        </w:tc>
        <w:tc>
          <w:tcPr>
            <w:tcW w:w="1564" w:type="dxa"/>
            <w:shd w:val="clear" w:color="auto" w:fill="auto"/>
            <w:noWrap/>
            <w:vAlign w:val="bottom"/>
            <w:hideMark/>
          </w:tcPr>
          <w:p w14:paraId="05641A38"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(0.941)</w:t>
            </w:r>
          </w:p>
        </w:tc>
        <w:tc>
          <w:tcPr>
            <w:tcW w:w="1564" w:type="dxa"/>
            <w:shd w:val="clear" w:color="auto" w:fill="auto"/>
            <w:noWrap/>
            <w:vAlign w:val="bottom"/>
            <w:hideMark/>
          </w:tcPr>
          <w:p w14:paraId="6C4E819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(0.727)</w:t>
            </w:r>
          </w:p>
        </w:tc>
      </w:tr>
      <w:tr w:rsidR="004013A1" w:rsidRPr="006715F5" w14:paraId="1EA88CC4" w14:textId="77777777" w:rsidTr="00975134">
        <w:tc>
          <w:tcPr>
            <w:tcW w:w="2868" w:type="dxa"/>
            <w:shd w:val="clear" w:color="auto" w:fill="auto"/>
            <w:noWrap/>
            <w:vAlign w:val="bottom"/>
            <w:hideMark/>
          </w:tcPr>
          <w:p w14:paraId="66AB4CC8" w14:textId="77777777" w:rsidR="004013A1" w:rsidRPr="000C046C" w:rsidRDefault="004013A1" w:rsidP="00975134">
            <w:pPr>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Major-Minor Dyad</w:t>
            </w:r>
          </w:p>
        </w:tc>
        <w:tc>
          <w:tcPr>
            <w:tcW w:w="1564" w:type="dxa"/>
            <w:shd w:val="clear" w:color="auto" w:fill="auto"/>
            <w:noWrap/>
            <w:vAlign w:val="bottom"/>
            <w:hideMark/>
          </w:tcPr>
          <w:p w14:paraId="54AD8665"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0.683</w:t>
            </w:r>
          </w:p>
        </w:tc>
        <w:tc>
          <w:tcPr>
            <w:tcW w:w="1564" w:type="dxa"/>
            <w:shd w:val="clear" w:color="auto" w:fill="auto"/>
            <w:noWrap/>
            <w:vAlign w:val="bottom"/>
            <w:hideMark/>
          </w:tcPr>
          <w:p w14:paraId="2009C68E"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1.811+</w:t>
            </w:r>
          </w:p>
        </w:tc>
        <w:tc>
          <w:tcPr>
            <w:tcW w:w="1564" w:type="dxa"/>
            <w:shd w:val="clear" w:color="auto" w:fill="auto"/>
            <w:noWrap/>
            <w:vAlign w:val="bottom"/>
            <w:hideMark/>
          </w:tcPr>
          <w:p w14:paraId="321304B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0.532</w:t>
            </w:r>
          </w:p>
        </w:tc>
      </w:tr>
      <w:tr w:rsidR="004013A1" w:rsidRPr="006715F5" w14:paraId="2B41C3CE" w14:textId="77777777" w:rsidTr="00975134">
        <w:tc>
          <w:tcPr>
            <w:tcW w:w="2868" w:type="dxa"/>
            <w:shd w:val="clear" w:color="auto" w:fill="auto"/>
            <w:noWrap/>
            <w:vAlign w:val="bottom"/>
            <w:hideMark/>
          </w:tcPr>
          <w:p w14:paraId="432CFC17"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2FCFE3BC"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(0.617)</w:t>
            </w:r>
          </w:p>
        </w:tc>
        <w:tc>
          <w:tcPr>
            <w:tcW w:w="1564" w:type="dxa"/>
            <w:shd w:val="clear" w:color="auto" w:fill="auto"/>
            <w:noWrap/>
            <w:vAlign w:val="bottom"/>
            <w:hideMark/>
          </w:tcPr>
          <w:p w14:paraId="556073EB"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(0.931)</w:t>
            </w:r>
          </w:p>
        </w:tc>
        <w:tc>
          <w:tcPr>
            <w:tcW w:w="1564" w:type="dxa"/>
            <w:shd w:val="clear" w:color="auto" w:fill="auto"/>
            <w:noWrap/>
            <w:vAlign w:val="bottom"/>
            <w:hideMark/>
          </w:tcPr>
          <w:p w14:paraId="704BE94B"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(0.696)</w:t>
            </w:r>
          </w:p>
        </w:tc>
      </w:tr>
      <w:tr w:rsidR="004013A1" w:rsidRPr="006715F5" w14:paraId="4AB4B758" w14:textId="77777777" w:rsidTr="00975134">
        <w:tc>
          <w:tcPr>
            <w:tcW w:w="2868" w:type="dxa"/>
            <w:shd w:val="clear" w:color="auto" w:fill="auto"/>
            <w:noWrap/>
            <w:vAlign w:val="bottom"/>
            <w:hideMark/>
          </w:tcPr>
          <w:p w14:paraId="15017C7F" w14:textId="77777777" w:rsidR="004013A1" w:rsidRPr="000C046C" w:rsidRDefault="004013A1" w:rsidP="00975134">
            <w:pPr>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Initiator Capability Share</w:t>
            </w:r>
          </w:p>
        </w:tc>
        <w:tc>
          <w:tcPr>
            <w:tcW w:w="1564" w:type="dxa"/>
            <w:shd w:val="clear" w:color="auto" w:fill="auto"/>
            <w:noWrap/>
            <w:vAlign w:val="bottom"/>
            <w:hideMark/>
          </w:tcPr>
          <w:p w14:paraId="7511D2A0"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0.856</w:t>
            </w:r>
          </w:p>
        </w:tc>
        <w:tc>
          <w:tcPr>
            <w:tcW w:w="1564" w:type="dxa"/>
            <w:shd w:val="clear" w:color="auto" w:fill="auto"/>
            <w:noWrap/>
            <w:vAlign w:val="bottom"/>
            <w:hideMark/>
          </w:tcPr>
          <w:p w14:paraId="47CA30B2"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-0.479</w:t>
            </w:r>
          </w:p>
        </w:tc>
        <w:tc>
          <w:tcPr>
            <w:tcW w:w="1564" w:type="dxa"/>
            <w:shd w:val="clear" w:color="auto" w:fill="auto"/>
            <w:noWrap/>
            <w:vAlign w:val="bottom"/>
            <w:hideMark/>
          </w:tcPr>
          <w:p w14:paraId="32BAFE2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0.999</w:t>
            </w:r>
          </w:p>
        </w:tc>
      </w:tr>
      <w:tr w:rsidR="004013A1" w:rsidRPr="006715F5" w14:paraId="6FAA5A77" w14:textId="77777777" w:rsidTr="00975134">
        <w:tc>
          <w:tcPr>
            <w:tcW w:w="2868" w:type="dxa"/>
            <w:shd w:val="clear" w:color="auto" w:fill="auto"/>
            <w:noWrap/>
            <w:vAlign w:val="bottom"/>
            <w:hideMark/>
          </w:tcPr>
          <w:p w14:paraId="11EA8602"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6D23C8C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(0.629)</w:t>
            </w:r>
          </w:p>
        </w:tc>
        <w:tc>
          <w:tcPr>
            <w:tcW w:w="1564" w:type="dxa"/>
            <w:shd w:val="clear" w:color="auto" w:fill="auto"/>
            <w:noWrap/>
            <w:vAlign w:val="bottom"/>
            <w:hideMark/>
          </w:tcPr>
          <w:p w14:paraId="10DB44A8"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(1.089)</w:t>
            </w:r>
          </w:p>
        </w:tc>
        <w:tc>
          <w:tcPr>
            <w:tcW w:w="1564" w:type="dxa"/>
            <w:shd w:val="clear" w:color="auto" w:fill="auto"/>
            <w:noWrap/>
            <w:vAlign w:val="bottom"/>
            <w:hideMark/>
          </w:tcPr>
          <w:p w14:paraId="46E58EF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(0.807)</w:t>
            </w:r>
          </w:p>
        </w:tc>
      </w:tr>
      <w:tr w:rsidR="004013A1" w:rsidRPr="006715F5" w14:paraId="3E0557C1" w14:textId="77777777" w:rsidTr="00975134">
        <w:tc>
          <w:tcPr>
            <w:tcW w:w="2868" w:type="dxa"/>
            <w:shd w:val="clear" w:color="auto" w:fill="auto"/>
            <w:noWrap/>
            <w:vAlign w:val="bottom"/>
            <w:hideMark/>
          </w:tcPr>
          <w:p w14:paraId="755D8508"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Contiguity</w:t>
            </w:r>
          </w:p>
        </w:tc>
        <w:tc>
          <w:tcPr>
            <w:tcW w:w="1564" w:type="dxa"/>
            <w:shd w:val="clear" w:color="auto" w:fill="auto"/>
            <w:noWrap/>
            <w:vAlign w:val="bottom"/>
            <w:hideMark/>
          </w:tcPr>
          <w:p w14:paraId="1FC5833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0.396</w:t>
            </w:r>
          </w:p>
        </w:tc>
        <w:tc>
          <w:tcPr>
            <w:tcW w:w="1564" w:type="dxa"/>
            <w:shd w:val="clear" w:color="auto" w:fill="auto"/>
            <w:noWrap/>
            <w:vAlign w:val="bottom"/>
            <w:hideMark/>
          </w:tcPr>
          <w:p w14:paraId="77477978"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0.106</w:t>
            </w:r>
          </w:p>
        </w:tc>
        <w:tc>
          <w:tcPr>
            <w:tcW w:w="1564" w:type="dxa"/>
            <w:shd w:val="clear" w:color="auto" w:fill="auto"/>
            <w:noWrap/>
            <w:vAlign w:val="bottom"/>
            <w:hideMark/>
          </w:tcPr>
          <w:p w14:paraId="0C0BDC0B"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0.439</w:t>
            </w:r>
          </w:p>
        </w:tc>
      </w:tr>
      <w:tr w:rsidR="004013A1" w:rsidRPr="006715F5" w14:paraId="083E5117" w14:textId="77777777" w:rsidTr="00975134">
        <w:tc>
          <w:tcPr>
            <w:tcW w:w="2868" w:type="dxa"/>
            <w:shd w:val="clear" w:color="auto" w:fill="auto"/>
            <w:noWrap/>
            <w:vAlign w:val="bottom"/>
            <w:hideMark/>
          </w:tcPr>
          <w:p w14:paraId="6E046512"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39A65B3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(0.399)</w:t>
            </w:r>
          </w:p>
        </w:tc>
        <w:tc>
          <w:tcPr>
            <w:tcW w:w="1564" w:type="dxa"/>
            <w:shd w:val="clear" w:color="auto" w:fill="auto"/>
            <w:noWrap/>
            <w:vAlign w:val="bottom"/>
            <w:hideMark/>
          </w:tcPr>
          <w:p w14:paraId="3E05908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(0.653)</w:t>
            </w:r>
          </w:p>
        </w:tc>
        <w:tc>
          <w:tcPr>
            <w:tcW w:w="1564" w:type="dxa"/>
            <w:shd w:val="clear" w:color="auto" w:fill="auto"/>
            <w:noWrap/>
            <w:vAlign w:val="bottom"/>
            <w:hideMark/>
          </w:tcPr>
          <w:p w14:paraId="7685DB6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(0.428)</w:t>
            </w:r>
          </w:p>
        </w:tc>
      </w:tr>
      <w:tr w:rsidR="004013A1" w:rsidRPr="006715F5" w14:paraId="3B37FE42" w14:textId="77777777" w:rsidTr="00975134">
        <w:tc>
          <w:tcPr>
            <w:tcW w:w="2868" w:type="dxa"/>
            <w:shd w:val="clear" w:color="auto" w:fill="auto"/>
            <w:noWrap/>
            <w:vAlign w:val="bottom"/>
            <w:hideMark/>
          </w:tcPr>
          <w:p w14:paraId="59B99707"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Ally</w:t>
            </w:r>
          </w:p>
        </w:tc>
        <w:tc>
          <w:tcPr>
            <w:tcW w:w="1564" w:type="dxa"/>
            <w:shd w:val="clear" w:color="auto" w:fill="auto"/>
            <w:noWrap/>
            <w:vAlign w:val="bottom"/>
            <w:hideMark/>
          </w:tcPr>
          <w:p w14:paraId="3FE3BFC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0.368</w:t>
            </w:r>
          </w:p>
        </w:tc>
        <w:tc>
          <w:tcPr>
            <w:tcW w:w="1564" w:type="dxa"/>
            <w:shd w:val="clear" w:color="auto" w:fill="auto"/>
            <w:noWrap/>
            <w:vAlign w:val="bottom"/>
            <w:hideMark/>
          </w:tcPr>
          <w:p w14:paraId="1F4240FE"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-0.500</w:t>
            </w:r>
          </w:p>
        </w:tc>
        <w:tc>
          <w:tcPr>
            <w:tcW w:w="1564" w:type="dxa"/>
            <w:shd w:val="clear" w:color="auto" w:fill="auto"/>
            <w:noWrap/>
            <w:vAlign w:val="bottom"/>
            <w:hideMark/>
          </w:tcPr>
          <w:p w14:paraId="4BC40D1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0.439</w:t>
            </w:r>
          </w:p>
        </w:tc>
      </w:tr>
      <w:tr w:rsidR="004013A1" w:rsidRPr="006715F5" w14:paraId="4F2BA331" w14:textId="77777777" w:rsidTr="00975134">
        <w:tc>
          <w:tcPr>
            <w:tcW w:w="2868" w:type="dxa"/>
            <w:shd w:val="clear" w:color="auto" w:fill="auto"/>
            <w:noWrap/>
            <w:vAlign w:val="bottom"/>
            <w:hideMark/>
          </w:tcPr>
          <w:p w14:paraId="6E21F2F4"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277277B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(0.569)</w:t>
            </w:r>
          </w:p>
        </w:tc>
        <w:tc>
          <w:tcPr>
            <w:tcW w:w="1564" w:type="dxa"/>
            <w:shd w:val="clear" w:color="auto" w:fill="auto"/>
            <w:noWrap/>
            <w:vAlign w:val="bottom"/>
            <w:hideMark/>
          </w:tcPr>
          <w:p w14:paraId="6D66C7A5"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(0.942)</w:t>
            </w:r>
          </w:p>
        </w:tc>
        <w:tc>
          <w:tcPr>
            <w:tcW w:w="1564" w:type="dxa"/>
            <w:shd w:val="clear" w:color="auto" w:fill="auto"/>
            <w:noWrap/>
            <w:vAlign w:val="bottom"/>
            <w:hideMark/>
          </w:tcPr>
          <w:p w14:paraId="1B05F8E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(0.637)</w:t>
            </w:r>
          </w:p>
        </w:tc>
      </w:tr>
      <w:tr w:rsidR="004013A1" w:rsidRPr="006715F5" w14:paraId="7D9A3FAE" w14:textId="77777777" w:rsidTr="00975134">
        <w:tc>
          <w:tcPr>
            <w:tcW w:w="2868" w:type="dxa"/>
            <w:shd w:val="clear" w:color="auto" w:fill="auto"/>
            <w:noWrap/>
            <w:vAlign w:val="bottom"/>
            <w:hideMark/>
          </w:tcPr>
          <w:p w14:paraId="58207BBF"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Alliance Portfolio Similarity</w:t>
            </w:r>
          </w:p>
        </w:tc>
        <w:tc>
          <w:tcPr>
            <w:tcW w:w="1564" w:type="dxa"/>
            <w:shd w:val="clear" w:color="auto" w:fill="auto"/>
            <w:noWrap/>
            <w:vAlign w:val="bottom"/>
            <w:hideMark/>
          </w:tcPr>
          <w:p w14:paraId="71382C45"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1.058</w:t>
            </w:r>
          </w:p>
        </w:tc>
        <w:tc>
          <w:tcPr>
            <w:tcW w:w="1564" w:type="dxa"/>
            <w:shd w:val="clear" w:color="auto" w:fill="auto"/>
            <w:noWrap/>
            <w:vAlign w:val="bottom"/>
            <w:hideMark/>
          </w:tcPr>
          <w:p w14:paraId="130743C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2.263</w:t>
            </w:r>
          </w:p>
        </w:tc>
        <w:tc>
          <w:tcPr>
            <w:tcW w:w="1564" w:type="dxa"/>
            <w:shd w:val="clear" w:color="auto" w:fill="auto"/>
            <w:noWrap/>
            <w:vAlign w:val="bottom"/>
            <w:hideMark/>
          </w:tcPr>
          <w:p w14:paraId="18BF4A8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0.928</w:t>
            </w:r>
          </w:p>
        </w:tc>
      </w:tr>
      <w:tr w:rsidR="004013A1" w:rsidRPr="006715F5" w14:paraId="2D5BCA43" w14:textId="77777777" w:rsidTr="00975134">
        <w:tc>
          <w:tcPr>
            <w:tcW w:w="2868" w:type="dxa"/>
            <w:shd w:val="clear" w:color="auto" w:fill="auto"/>
            <w:noWrap/>
            <w:vAlign w:val="bottom"/>
            <w:hideMark/>
          </w:tcPr>
          <w:p w14:paraId="2189E9FA"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42E1E7B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(0.859)</w:t>
            </w:r>
          </w:p>
        </w:tc>
        <w:tc>
          <w:tcPr>
            <w:tcW w:w="1564" w:type="dxa"/>
            <w:shd w:val="clear" w:color="auto" w:fill="auto"/>
            <w:noWrap/>
            <w:vAlign w:val="bottom"/>
            <w:hideMark/>
          </w:tcPr>
          <w:p w14:paraId="6F837E1E"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(1.433)</w:t>
            </w:r>
          </w:p>
        </w:tc>
        <w:tc>
          <w:tcPr>
            <w:tcW w:w="1564" w:type="dxa"/>
            <w:shd w:val="clear" w:color="auto" w:fill="auto"/>
            <w:noWrap/>
            <w:vAlign w:val="bottom"/>
            <w:hideMark/>
          </w:tcPr>
          <w:p w14:paraId="228A43E7"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(0.978)</w:t>
            </w:r>
          </w:p>
        </w:tc>
      </w:tr>
      <w:tr w:rsidR="004013A1" w:rsidRPr="006715F5" w14:paraId="19152839" w14:textId="77777777" w:rsidTr="00975134">
        <w:tc>
          <w:tcPr>
            <w:tcW w:w="2868" w:type="dxa"/>
            <w:shd w:val="clear" w:color="auto" w:fill="auto"/>
            <w:noWrap/>
            <w:vAlign w:val="bottom"/>
            <w:hideMark/>
          </w:tcPr>
          <w:p w14:paraId="356B41E9"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Status Quo Initiator</w:t>
            </w:r>
          </w:p>
        </w:tc>
        <w:tc>
          <w:tcPr>
            <w:tcW w:w="1564" w:type="dxa"/>
            <w:shd w:val="clear" w:color="auto" w:fill="auto"/>
            <w:noWrap/>
            <w:vAlign w:val="bottom"/>
            <w:hideMark/>
          </w:tcPr>
          <w:p w14:paraId="6ECC4BC0"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0.426</w:t>
            </w:r>
          </w:p>
        </w:tc>
        <w:tc>
          <w:tcPr>
            <w:tcW w:w="1564" w:type="dxa"/>
            <w:shd w:val="clear" w:color="auto" w:fill="auto"/>
            <w:noWrap/>
            <w:vAlign w:val="bottom"/>
            <w:hideMark/>
          </w:tcPr>
          <w:p w14:paraId="2E83093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3.088</w:t>
            </w:r>
          </w:p>
        </w:tc>
        <w:tc>
          <w:tcPr>
            <w:tcW w:w="1564" w:type="dxa"/>
            <w:shd w:val="clear" w:color="auto" w:fill="auto"/>
            <w:noWrap/>
            <w:vAlign w:val="bottom"/>
            <w:hideMark/>
          </w:tcPr>
          <w:p w14:paraId="7405AEF0"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0.299</w:t>
            </w:r>
          </w:p>
        </w:tc>
      </w:tr>
      <w:tr w:rsidR="004013A1" w:rsidRPr="00AE3F37" w14:paraId="6AF610C6" w14:textId="77777777" w:rsidTr="00975134">
        <w:tc>
          <w:tcPr>
            <w:tcW w:w="2868" w:type="dxa"/>
            <w:shd w:val="clear" w:color="auto" w:fill="auto"/>
            <w:noWrap/>
            <w:vAlign w:val="bottom"/>
            <w:hideMark/>
          </w:tcPr>
          <w:p w14:paraId="5BB4D012"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429F39A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(1.293)</w:t>
            </w:r>
          </w:p>
        </w:tc>
        <w:tc>
          <w:tcPr>
            <w:tcW w:w="1564" w:type="dxa"/>
            <w:shd w:val="clear" w:color="auto" w:fill="auto"/>
            <w:noWrap/>
            <w:vAlign w:val="bottom"/>
            <w:hideMark/>
          </w:tcPr>
          <w:p w14:paraId="71747457"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1BA02D4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(1.593)</w:t>
            </w:r>
          </w:p>
        </w:tc>
      </w:tr>
      <w:tr w:rsidR="004013A1" w:rsidRPr="00AE3F37" w14:paraId="5B887AD3" w14:textId="77777777" w:rsidTr="00975134">
        <w:tc>
          <w:tcPr>
            <w:tcW w:w="2868" w:type="dxa"/>
            <w:shd w:val="clear" w:color="auto" w:fill="auto"/>
            <w:noWrap/>
            <w:vAlign w:val="bottom"/>
            <w:hideMark/>
          </w:tcPr>
          <w:p w14:paraId="7CEE722A"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Status Quo Target</w:t>
            </w:r>
          </w:p>
        </w:tc>
        <w:tc>
          <w:tcPr>
            <w:tcW w:w="1564" w:type="dxa"/>
            <w:shd w:val="clear" w:color="auto" w:fill="auto"/>
            <w:noWrap/>
            <w:vAlign w:val="bottom"/>
            <w:hideMark/>
          </w:tcPr>
          <w:p w14:paraId="629EA75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-0.758</w:t>
            </w:r>
          </w:p>
        </w:tc>
        <w:tc>
          <w:tcPr>
            <w:tcW w:w="1564" w:type="dxa"/>
            <w:shd w:val="clear" w:color="auto" w:fill="auto"/>
            <w:noWrap/>
            <w:vAlign w:val="bottom"/>
            <w:hideMark/>
          </w:tcPr>
          <w:p w14:paraId="7B87D9E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-0.0981</w:t>
            </w:r>
          </w:p>
        </w:tc>
        <w:tc>
          <w:tcPr>
            <w:tcW w:w="1564" w:type="dxa"/>
            <w:shd w:val="clear" w:color="auto" w:fill="auto"/>
            <w:noWrap/>
            <w:vAlign w:val="bottom"/>
            <w:hideMark/>
          </w:tcPr>
          <w:p w14:paraId="25C040F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-0.657</w:t>
            </w:r>
          </w:p>
        </w:tc>
      </w:tr>
      <w:tr w:rsidR="004013A1" w:rsidRPr="00AE3F37" w14:paraId="349FE475" w14:textId="77777777" w:rsidTr="00975134">
        <w:tc>
          <w:tcPr>
            <w:tcW w:w="2868" w:type="dxa"/>
            <w:shd w:val="clear" w:color="auto" w:fill="auto"/>
            <w:noWrap/>
            <w:vAlign w:val="bottom"/>
            <w:hideMark/>
          </w:tcPr>
          <w:p w14:paraId="1DDCD49C"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3BD523F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(1.390)</w:t>
            </w:r>
          </w:p>
        </w:tc>
        <w:tc>
          <w:tcPr>
            <w:tcW w:w="1564" w:type="dxa"/>
            <w:shd w:val="clear" w:color="auto" w:fill="auto"/>
            <w:noWrap/>
            <w:vAlign w:val="bottom"/>
            <w:hideMark/>
          </w:tcPr>
          <w:p w14:paraId="7AD2670A"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(1.914)</w:t>
            </w:r>
          </w:p>
        </w:tc>
        <w:tc>
          <w:tcPr>
            <w:tcW w:w="1564" w:type="dxa"/>
            <w:shd w:val="clear" w:color="auto" w:fill="auto"/>
            <w:noWrap/>
            <w:vAlign w:val="bottom"/>
            <w:hideMark/>
          </w:tcPr>
          <w:p w14:paraId="74C7EB6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(1.679)</w:t>
            </w:r>
          </w:p>
        </w:tc>
      </w:tr>
      <w:tr w:rsidR="004013A1" w:rsidRPr="00AE3F37" w14:paraId="0F91A64F" w14:textId="77777777" w:rsidTr="00975134">
        <w:tc>
          <w:tcPr>
            <w:tcW w:w="2868" w:type="dxa"/>
            <w:shd w:val="clear" w:color="auto" w:fill="auto"/>
            <w:noWrap/>
            <w:vAlign w:val="bottom"/>
            <w:hideMark/>
          </w:tcPr>
          <w:p w14:paraId="750C1BF7"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Territory</w:t>
            </w:r>
          </w:p>
        </w:tc>
        <w:tc>
          <w:tcPr>
            <w:tcW w:w="1564" w:type="dxa"/>
            <w:shd w:val="clear" w:color="auto" w:fill="auto"/>
            <w:noWrap/>
            <w:vAlign w:val="bottom"/>
            <w:hideMark/>
          </w:tcPr>
          <w:p w14:paraId="6C99CD2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0.590</w:t>
            </w:r>
          </w:p>
        </w:tc>
        <w:tc>
          <w:tcPr>
            <w:tcW w:w="1564" w:type="dxa"/>
            <w:shd w:val="clear" w:color="auto" w:fill="auto"/>
            <w:noWrap/>
            <w:vAlign w:val="bottom"/>
            <w:hideMark/>
          </w:tcPr>
          <w:p w14:paraId="6360969A"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1.256+</w:t>
            </w:r>
          </w:p>
        </w:tc>
        <w:tc>
          <w:tcPr>
            <w:tcW w:w="1564" w:type="dxa"/>
            <w:shd w:val="clear" w:color="auto" w:fill="auto"/>
            <w:noWrap/>
            <w:vAlign w:val="bottom"/>
            <w:hideMark/>
          </w:tcPr>
          <w:p w14:paraId="0B7E83C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0.738</w:t>
            </w:r>
          </w:p>
        </w:tc>
      </w:tr>
      <w:tr w:rsidR="004013A1" w:rsidRPr="00AE3F37" w14:paraId="081C104E" w14:textId="77777777" w:rsidTr="00975134">
        <w:tc>
          <w:tcPr>
            <w:tcW w:w="2868" w:type="dxa"/>
            <w:shd w:val="clear" w:color="auto" w:fill="auto"/>
            <w:noWrap/>
            <w:vAlign w:val="bottom"/>
            <w:hideMark/>
          </w:tcPr>
          <w:p w14:paraId="61A5EFB3"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35E99F6A"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(0.442)</w:t>
            </w:r>
          </w:p>
        </w:tc>
        <w:tc>
          <w:tcPr>
            <w:tcW w:w="1564" w:type="dxa"/>
            <w:shd w:val="clear" w:color="auto" w:fill="auto"/>
            <w:noWrap/>
            <w:vAlign w:val="bottom"/>
            <w:hideMark/>
          </w:tcPr>
          <w:p w14:paraId="5E9562D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(0.675)</w:t>
            </w:r>
          </w:p>
        </w:tc>
        <w:tc>
          <w:tcPr>
            <w:tcW w:w="1564" w:type="dxa"/>
            <w:shd w:val="clear" w:color="auto" w:fill="auto"/>
            <w:noWrap/>
            <w:vAlign w:val="bottom"/>
            <w:hideMark/>
          </w:tcPr>
          <w:p w14:paraId="23FEFC2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(0.554)</w:t>
            </w:r>
          </w:p>
        </w:tc>
      </w:tr>
      <w:tr w:rsidR="004013A1" w:rsidRPr="00AE3F37" w14:paraId="40BB67ED" w14:textId="77777777" w:rsidTr="00975134">
        <w:tc>
          <w:tcPr>
            <w:tcW w:w="2868" w:type="dxa"/>
            <w:shd w:val="clear" w:color="auto" w:fill="auto"/>
            <w:noWrap/>
            <w:vAlign w:val="bottom"/>
            <w:hideMark/>
          </w:tcPr>
          <w:p w14:paraId="37AA334A"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Regime</w:t>
            </w:r>
          </w:p>
        </w:tc>
        <w:tc>
          <w:tcPr>
            <w:tcW w:w="1564" w:type="dxa"/>
            <w:shd w:val="clear" w:color="auto" w:fill="auto"/>
            <w:noWrap/>
            <w:vAlign w:val="bottom"/>
            <w:hideMark/>
          </w:tcPr>
          <w:p w14:paraId="177E652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-1.041</w:t>
            </w:r>
          </w:p>
        </w:tc>
        <w:tc>
          <w:tcPr>
            <w:tcW w:w="1564" w:type="dxa"/>
            <w:shd w:val="clear" w:color="auto" w:fill="auto"/>
            <w:noWrap/>
            <w:vAlign w:val="bottom"/>
            <w:hideMark/>
          </w:tcPr>
          <w:p w14:paraId="66FAE5F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-1.241</w:t>
            </w:r>
          </w:p>
        </w:tc>
        <w:tc>
          <w:tcPr>
            <w:tcW w:w="1564" w:type="dxa"/>
            <w:shd w:val="clear" w:color="auto" w:fill="auto"/>
            <w:noWrap/>
            <w:vAlign w:val="bottom"/>
            <w:hideMark/>
          </w:tcPr>
          <w:p w14:paraId="42548D3E"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-1.152</w:t>
            </w:r>
          </w:p>
        </w:tc>
      </w:tr>
      <w:tr w:rsidR="004013A1" w:rsidRPr="00AE3F37" w14:paraId="32775DB1" w14:textId="77777777" w:rsidTr="00975134">
        <w:tc>
          <w:tcPr>
            <w:tcW w:w="2868" w:type="dxa"/>
            <w:shd w:val="clear" w:color="auto" w:fill="auto"/>
            <w:noWrap/>
            <w:vAlign w:val="bottom"/>
            <w:hideMark/>
          </w:tcPr>
          <w:p w14:paraId="708ED838"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3309D67A"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(0.794)</w:t>
            </w:r>
          </w:p>
        </w:tc>
        <w:tc>
          <w:tcPr>
            <w:tcW w:w="1564" w:type="dxa"/>
            <w:shd w:val="clear" w:color="auto" w:fill="auto"/>
            <w:noWrap/>
            <w:vAlign w:val="bottom"/>
            <w:hideMark/>
          </w:tcPr>
          <w:p w14:paraId="1B75E32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(1.031)</w:t>
            </w:r>
          </w:p>
        </w:tc>
        <w:tc>
          <w:tcPr>
            <w:tcW w:w="1564" w:type="dxa"/>
            <w:shd w:val="clear" w:color="auto" w:fill="auto"/>
            <w:noWrap/>
            <w:vAlign w:val="bottom"/>
            <w:hideMark/>
          </w:tcPr>
          <w:p w14:paraId="14985165"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(1.235)</w:t>
            </w:r>
          </w:p>
        </w:tc>
      </w:tr>
      <w:tr w:rsidR="004013A1" w:rsidRPr="00AE3F37" w14:paraId="5AC0FC82" w14:textId="77777777" w:rsidTr="00975134">
        <w:tc>
          <w:tcPr>
            <w:tcW w:w="2868" w:type="dxa"/>
            <w:shd w:val="clear" w:color="auto" w:fill="auto"/>
            <w:noWrap/>
            <w:vAlign w:val="bottom"/>
            <w:hideMark/>
          </w:tcPr>
          <w:p w14:paraId="28522C83"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Policy</w:t>
            </w:r>
          </w:p>
        </w:tc>
        <w:tc>
          <w:tcPr>
            <w:tcW w:w="1564" w:type="dxa"/>
            <w:shd w:val="clear" w:color="auto" w:fill="auto"/>
            <w:noWrap/>
            <w:vAlign w:val="bottom"/>
            <w:hideMark/>
          </w:tcPr>
          <w:p w14:paraId="738275ED"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-0.635</w:t>
            </w:r>
          </w:p>
        </w:tc>
        <w:tc>
          <w:tcPr>
            <w:tcW w:w="1564" w:type="dxa"/>
            <w:shd w:val="clear" w:color="auto" w:fill="auto"/>
            <w:noWrap/>
            <w:vAlign w:val="bottom"/>
            <w:hideMark/>
          </w:tcPr>
          <w:p w14:paraId="6EF30B37"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-1.328+</w:t>
            </w:r>
          </w:p>
        </w:tc>
        <w:tc>
          <w:tcPr>
            <w:tcW w:w="1564" w:type="dxa"/>
            <w:shd w:val="clear" w:color="auto" w:fill="auto"/>
            <w:noWrap/>
            <w:vAlign w:val="bottom"/>
            <w:hideMark/>
          </w:tcPr>
          <w:p w14:paraId="7D024293"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-0.513</w:t>
            </w:r>
          </w:p>
        </w:tc>
      </w:tr>
      <w:tr w:rsidR="004013A1" w:rsidRPr="00AE3F37" w14:paraId="5D09573B" w14:textId="77777777" w:rsidTr="00975134">
        <w:tc>
          <w:tcPr>
            <w:tcW w:w="2868" w:type="dxa"/>
            <w:shd w:val="clear" w:color="auto" w:fill="auto"/>
            <w:noWrap/>
            <w:vAlign w:val="bottom"/>
            <w:hideMark/>
          </w:tcPr>
          <w:p w14:paraId="38A3F1DA"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0481FDE2"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(0.406)</w:t>
            </w:r>
          </w:p>
        </w:tc>
        <w:tc>
          <w:tcPr>
            <w:tcW w:w="1564" w:type="dxa"/>
            <w:shd w:val="clear" w:color="auto" w:fill="auto"/>
            <w:noWrap/>
            <w:vAlign w:val="bottom"/>
            <w:hideMark/>
          </w:tcPr>
          <w:p w14:paraId="09F577BC"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(0.678)</w:t>
            </w:r>
          </w:p>
        </w:tc>
        <w:tc>
          <w:tcPr>
            <w:tcW w:w="1564" w:type="dxa"/>
            <w:shd w:val="clear" w:color="auto" w:fill="auto"/>
            <w:noWrap/>
            <w:vAlign w:val="bottom"/>
            <w:hideMark/>
          </w:tcPr>
          <w:p w14:paraId="28FF165B"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(0.449)</w:t>
            </w:r>
          </w:p>
        </w:tc>
      </w:tr>
      <w:tr w:rsidR="004013A1" w:rsidRPr="00AE3F37" w14:paraId="45933C78" w14:textId="77777777" w:rsidTr="00975134">
        <w:tc>
          <w:tcPr>
            <w:tcW w:w="2868" w:type="dxa"/>
            <w:shd w:val="clear" w:color="auto" w:fill="auto"/>
            <w:noWrap/>
            <w:vAlign w:val="bottom"/>
            <w:hideMark/>
          </w:tcPr>
          <w:p w14:paraId="4A6458C9"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Other</w:t>
            </w:r>
          </w:p>
        </w:tc>
        <w:tc>
          <w:tcPr>
            <w:tcW w:w="1564" w:type="dxa"/>
            <w:shd w:val="clear" w:color="auto" w:fill="auto"/>
            <w:noWrap/>
            <w:vAlign w:val="bottom"/>
            <w:hideMark/>
          </w:tcPr>
          <w:p w14:paraId="06AEF582"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-2.006</w:t>
            </w:r>
          </w:p>
        </w:tc>
        <w:tc>
          <w:tcPr>
            <w:tcW w:w="1564" w:type="dxa"/>
            <w:shd w:val="clear" w:color="auto" w:fill="auto"/>
            <w:noWrap/>
            <w:vAlign w:val="bottom"/>
            <w:hideMark/>
          </w:tcPr>
          <w:p w14:paraId="010D319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-16.39***</w:t>
            </w:r>
          </w:p>
        </w:tc>
        <w:tc>
          <w:tcPr>
            <w:tcW w:w="1564" w:type="dxa"/>
            <w:shd w:val="clear" w:color="auto" w:fill="auto"/>
            <w:noWrap/>
            <w:vAlign w:val="bottom"/>
            <w:hideMark/>
          </w:tcPr>
          <w:p w14:paraId="7233BAD4"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-1.734</w:t>
            </w:r>
          </w:p>
        </w:tc>
      </w:tr>
      <w:tr w:rsidR="004013A1" w:rsidRPr="00AE3F37" w14:paraId="01071514" w14:textId="77777777" w:rsidTr="00975134">
        <w:tc>
          <w:tcPr>
            <w:tcW w:w="2868" w:type="dxa"/>
            <w:shd w:val="clear" w:color="auto" w:fill="auto"/>
            <w:noWrap/>
            <w:vAlign w:val="bottom"/>
            <w:hideMark/>
          </w:tcPr>
          <w:p w14:paraId="3C83AAB9"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223960F6"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(1.388)</w:t>
            </w:r>
          </w:p>
        </w:tc>
        <w:tc>
          <w:tcPr>
            <w:tcW w:w="1564" w:type="dxa"/>
            <w:shd w:val="clear" w:color="auto" w:fill="auto"/>
            <w:noWrap/>
            <w:vAlign w:val="bottom"/>
            <w:hideMark/>
          </w:tcPr>
          <w:p w14:paraId="0E498A7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(0.742)</w:t>
            </w:r>
          </w:p>
        </w:tc>
        <w:tc>
          <w:tcPr>
            <w:tcW w:w="1564" w:type="dxa"/>
            <w:shd w:val="clear" w:color="auto" w:fill="auto"/>
            <w:noWrap/>
            <w:vAlign w:val="bottom"/>
            <w:hideMark/>
          </w:tcPr>
          <w:p w14:paraId="3651F3E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(1.367)</w:t>
            </w:r>
          </w:p>
        </w:tc>
      </w:tr>
      <w:tr w:rsidR="004013A1" w:rsidRPr="00AE3F37" w14:paraId="19F408FB" w14:textId="77777777" w:rsidTr="00975134">
        <w:tc>
          <w:tcPr>
            <w:tcW w:w="2868" w:type="dxa"/>
            <w:shd w:val="clear" w:color="auto" w:fill="auto"/>
            <w:noWrap/>
            <w:vAlign w:val="bottom"/>
            <w:hideMark/>
          </w:tcPr>
          <w:p w14:paraId="07C0552B"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Constant 1</w:t>
            </w:r>
          </w:p>
        </w:tc>
        <w:tc>
          <w:tcPr>
            <w:tcW w:w="1564" w:type="dxa"/>
            <w:shd w:val="clear" w:color="auto" w:fill="auto"/>
            <w:noWrap/>
            <w:vAlign w:val="bottom"/>
            <w:hideMark/>
          </w:tcPr>
          <w:p w14:paraId="78900F3C"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2.086+</w:t>
            </w:r>
          </w:p>
        </w:tc>
        <w:tc>
          <w:tcPr>
            <w:tcW w:w="1564" w:type="dxa"/>
            <w:shd w:val="clear" w:color="auto" w:fill="auto"/>
            <w:noWrap/>
            <w:vAlign w:val="bottom"/>
            <w:hideMark/>
          </w:tcPr>
          <w:p w14:paraId="49A57A7A"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-3.792+</w:t>
            </w:r>
          </w:p>
        </w:tc>
        <w:tc>
          <w:tcPr>
            <w:tcW w:w="1564" w:type="dxa"/>
            <w:shd w:val="clear" w:color="auto" w:fill="auto"/>
            <w:noWrap/>
            <w:vAlign w:val="bottom"/>
            <w:hideMark/>
          </w:tcPr>
          <w:p w14:paraId="6C587E59"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-2.337+</w:t>
            </w:r>
          </w:p>
        </w:tc>
      </w:tr>
      <w:tr w:rsidR="004013A1" w:rsidRPr="00AE3F37" w14:paraId="146F53F1" w14:textId="77777777" w:rsidTr="00975134">
        <w:tc>
          <w:tcPr>
            <w:tcW w:w="2868" w:type="dxa"/>
            <w:shd w:val="clear" w:color="auto" w:fill="auto"/>
            <w:noWrap/>
            <w:vAlign w:val="bottom"/>
            <w:hideMark/>
          </w:tcPr>
          <w:p w14:paraId="42094758"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7902E3B7"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(1.164)</w:t>
            </w:r>
          </w:p>
        </w:tc>
        <w:tc>
          <w:tcPr>
            <w:tcW w:w="1564" w:type="dxa"/>
            <w:shd w:val="clear" w:color="auto" w:fill="auto"/>
            <w:noWrap/>
            <w:vAlign w:val="bottom"/>
            <w:hideMark/>
          </w:tcPr>
          <w:p w14:paraId="7EE6E122"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(2.211)</w:t>
            </w:r>
          </w:p>
        </w:tc>
        <w:tc>
          <w:tcPr>
            <w:tcW w:w="1564" w:type="dxa"/>
            <w:shd w:val="clear" w:color="auto" w:fill="auto"/>
            <w:noWrap/>
            <w:vAlign w:val="bottom"/>
            <w:hideMark/>
          </w:tcPr>
          <w:p w14:paraId="7A57C6B7"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(1.367)</w:t>
            </w:r>
          </w:p>
        </w:tc>
      </w:tr>
      <w:tr w:rsidR="004013A1" w:rsidRPr="00AE3F37" w14:paraId="33AABEF5" w14:textId="77777777" w:rsidTr="00975134">
        <w:tc>
          <w:tcPr>
            <w:tcW w:w="2868" w:type="dxa"/>
            <w:shd w:val="clear" w:color="auto" w:fill="auto"/>
            <w:noWrap/>
            <w:vAlign w:val="bottom"/>
            <w:hideMark/>
          </w:tcPr>
          <w:p w14:paraId="0DF408F7" w14:textId="77777777" w:rsidR="004013A1" w:rsidRPr="000C046C" w:rsidRDefault="004013A1" w:rsidP="00975134">
            <w:pPr>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Constant 2</w:t>
            </w:r>
          </w:p>
        </w:tc>
        <w:tc>
          <w:tcPr>
            <w:tcW w:w="1564" w:type="dxa"/>
            <w:shd w:val="clear" w:color="auto" w:fill="auto"/>
            <w:noWrap/>
            <w:vAlign w:val="bottom"/>
            <w:hideMark/>
          </w:tcPr>
          <w:p w14:paraId="660898FC"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2.751*</w:t>
            </w:r>
          </w:p>
        </w:tc>
        <w:tc>
          <w:tcPr>
            <w:tcW w:w="1564" w:type="dxa"/>
            <w:shd w:val="clear" w:color="auto" w:fill="auto"/>
            <w:noWrap/>
            <w:vAlign w:val="bottom"/>
            <w:hideMark/>
          </w:tcPr>
          <w:p w14:paraId="72E1F0A8"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p>
        </w:tc>
        <w:tc>
          <w:tcPr>
            <w:tcW w:w="1564" w:type="dxa"/>
            <w:shd w:val="clear" w:color="auto" w:fill="auto"/>
            <w:noWrap/>
            <w:vAlign w:val="bottom"/>
            <w:hideMark/>
          </w:tcPr>
          <w:p w14:paraId="60DA598F"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p>
        </w:tc>
      </w:tr>
      <w:tr w:rsidR="004013A1" w:rsidRPr="00AE3F37" w14:paraId="4EE6A159" w14:textId="77777777" w:rsidTr="00975134">
        <w:tc>
          <w:tcPr>
            <w:tcW w:w="2868" w:type="dxa"/>
            <w:tcBorders>
              <w:bottom w:val="single" w:sz="4" w:space="0" w:color="auto"/>
            </w:tcBorders>
            <w:shd w:val="clear" w:color="auto" w:fill="auto"/>
            <w:noWrap/>
            <w:vAlign w:val="bottom"/>
            <w:hideMark/>
          </w:tcPr>
          <w:p w14:paraId="386C8815" w14:textId="77777777" w:rsidR="004013A1" w:rsidRPr="000C046C" w:rsidRDefault="004013A1" w:rsidP="00975134">
            <w:pPr>
              <w:contextualSpacing/>
              <w:rPr>
                <w:rFonts w:ascii="Times New Roman" w:eastAsia="Times New Roman" w:hAnsi="Times New Roman" w:cs="Times New Roman"/>
                <w:sz w:val="22"/>
                <w:szCs w:val="22"/>
              </w:rPr>
            </w:pPr>
          </w:p>
        </w:tc>
        <w:tc>
          <w:tcPr>
            <w:tcW w:w="1564" w:type="dxa"/>
            <w:tcBorders>
              <w:bottom w:val="single" w:sz="4" w:space="0" w:color="auto"/>
            </w:tcBorders>
            <w:shd w:val="clear" w:color="auto" w:fill="auto"/>
            <w:noWrap/>
            <w:vAlign w:val="bottom"/>
            <w:hideMark/>
          </w:tcPr>
          <w:p w14:paraId="36AD679E"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(1.173)</w:t>
            </w:r>
          </w:p>
        </w:tc>
        <w:tc>
          <w:tcPr>
            <w:tcW w:w="1564" w:type="dxa"/>
            <w:tcBorders>
              <w:bottom w:val="single" w:sz="4" w:space="0" w:color="auto"/>
            </w:tcBorders>
            <w:shd w:val="clear" w:color="auto" w:fill="auto"/>
            <w:noWrap/>
            <w:vAlign w:val="bottom"/>
            <w:hideMark/>
          </w:tcPr>
          <w:p w14:paraId="356CF802"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p>
        </w:tc>
        <w:tc>
          <w:tcPr>
            <w:tcW w:w="1564" w:type="dxa"/>
            <w:tcBorders>
              <w:bottom w:val="single" w:sz="4" w:space="0" w:color="auto"/>
            </w:tcBorders>
            <w:shd w:val="clear" w:color="auto" w:fill="auto"/>
            <w:noWrap/>
            <w:vAlign w:val="bottom"/>
            <w:hideMark/>
          </w:tcPr>
          <w:p w14:paraId="307335E0" w14:textId="77777777" w:rsidR="004013A1" w:rsidRPr="000C046C" w:rsidRDefault="004013A1" w:rsidP="00975134">
            <w:pPr>
              <w:tabs>
                <w:tab w:val="decimal" w:pos="432"/>
              </w:tabs>
              <w:contextualSpacing/>
              <w:rPr>
                <w:rFonts w:ascii="Times New Roman" w:eastAsia="Times New Roman" w:hAnsi="Times New Roman" w:cs="Times New Roman"/>
                <w:sz w:val="22"/>
                <w:szCs w:val="22"/>
              </w:rPr>
            </w:pPr>
          </w:p>
        </w:tc>
      </w:tr>
      <w:tr w:rsidR="004013A1" w:rsidRPr="00AE3F37" w14:paraId="53911E99" w14:textId="77777777" w:rsidTr="00975134">
        <w:tc>
          <w:tcPr>
            <w:tcW w:w="2868" w:type="dxa"/>
            <w:tcBorders>
              <w:top w:val="single" w:sz="4" w:space="0" w:color="auto"/>
              <w:bottom w:val="threeDEmboss" w:sz="18" w:space="0" w:color="auto"/>
            </w:tcBorders>
            <w:shd w:val="clear" w:color="auto" w:fill="auto"/>
            <w:noWrap/>
            <w:vAlign w:val="bottom"/>
            <w:hideMark/>
          </w:tcPr>
          <w:p w14:paraId="00C8BE69" w14:textId="77777777" w:rsidR="004013A1" w:rsidRPr="000C046C" w:rsidRDefault="004013A1" w:rsidP="00975134">
            <w:pPr>
              <w:contextualSpacing/>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N</w:t>
            </w:r>
          </w:p>
        </w:tc>
        <w:tc>
          <w:tcPr>
            <w:tcW w:w="1564" w:type="dxa"/>
            <w:tcBorders>
              <w:top w:val="single" w:sz="4" w:space="0" w:color="auto"/>
              <w:bottom w:val="threeDEmboss" w:sz="18" w:space="0" w:color="auto"/>
            </w:tcBorders>
            <w:shd w:val="clear" w:color="auto" w:fill="auto"/>
            <w:noWrap/>
            <w:vAlign w:val="bottom"/>
            <w:hideMark/>
          </w:tcPr>
          <w:p w14:paraId="303D64EA" w14:textId="77777777" w:rsidR="004013A1" w:rsidRPr="000C046C" w:rsidRDefault="004013A1" w:rsidP="00975134">
            <w:pPr>
              <w:keepNext/>
              <w:keepLines/>
              <w:spacing w:before="200"/>
              <w:contextualSpacing/>
              <w:jc w:val="center"/>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253</w:t>
            </w:r>
          </w:p>
        </w:tc>
        <w:tc>
          <w:tcPr>
            <w:tcW w:w="1564" w:type="dxa"/>
            <w:tcBorders>
              <w:top w:val="single" w:sz="4" w:space="0" w:color="auto"/>
              <w:bottom w:val="threeDEmboss" w:sz="18" w:space="0" w:color="auto"/>
            </w:tcBorders>
            <w:shd w:val="clear" w:color="auto" w:fill="auto"/>
            <w:noWrap/>
            <w:vAlign w:val="bottom"/>
            <w:hideMark/>
          </w:tcPr>
          <w:p w14:paraId="3E552346" w14:textId="77777777" w:rsidR="004013A1" w:rsidRPr="000C046C" w:rsidRDefault="004013A1" w:rsidP="00975134">
            <w:pPr>
              <w:keepNext/>
              <w:keepLines/>
              <w:spacing w:before="200"/>
              <w:contextualSpacing/>
              <w:jc w:val="center"/>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253</w:t>
            </w:r>
          </w:p>
        </w:tc>
        <w:tc>
          <w:tcPr>
            <w:tcW w:w="1564" w:type="dxa"/>
            <w:tcBorders>
              <w:top w:val="single" w:sz="4" w:space="0" w:color="auto"/>
              <w:bottom w:val="threeDEmboss" w:sz="18" w:space="0" w:color="auto"/>
            </w:tcBorders>
            <w:shd w:val="clear" w:color="auto" w:fill="auto"/>
            <w:noWrap/>
            <w:vAlign w:val="bottom"/>
            <w:hideMark/>
          </w:tcPr>
          <w:p w14:paraId="63371798" w14:textId="77777777" w:rsidR="004013A1" w:rsidRPr="000C046C" w:rsidRDefault="004013A1" w:rsidP="00975134">
            <w:pPr>
              <w:keepNext/>
              <w:keepLines/>
              <w:spacing w:before="200"/>
              <w:contextualSpacing/>
              <w:jc w:val="center"/>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253</w:t>
            </w:r>
          </w:p>
        </w:tc>
      </w:tr>
      <w:tr w:rsidR="004013A1" w:rsidRPr="00AE3F37" w14:paraId="21B74D5F" w14:textId="77777777" w:rsidTr="00975134">
        <w:tc>
          <w:tcPr>
            <w:tcW w:w="7560" w:type="dxa"/>
            <w:gridSpan w:val="4"/>
            <w:tcBorders>
              <w:top w:val="threeDEmboss" w:sz="18" w:space="0" w:color="auto"/>
            </w:tcBorders>
            <w:shd w:val="clear" w:color="auto" w:fill="auto"/>
            <w:noWrap/>
            <w:vAlign w:val="bottom"/>
            <w:hideMark/>
          </w:tcPr>
          <w:p w14:paraId="014FC182"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r w:rsidRPr="000C046C">
              <w:rPr>
                <w:rFonts w:ascii="Times New Roman" w:eastAsia="Times New Roman" w:hAnsi="Times New Roman" w:cs="Times New Roman"/>
                <w:sz w:val="22"/>
                <w:szCs w:val="22"/>
              </w:rPr>
              <w:t>Robust standard errors in parentheses; *** p&lt;</w:t>
            </w:r>
            <w:proofErr w:type="gramStart"/>
            <w:r w:rsidRPr="000C046C">
              <w:rPr>
                <w:rFonts w:ascii="Times New Roman" w:eastAsia="Times New Roman" w:hAnsi="Times New Roman" w:cs="Times New Roman"/>
                <w:sz w:val="22"/>
                <w:szCs w:val="22"/>
              </w:rPr>
              <w:t>.001</w:t>
            </w:r>
            <w:proofErr w:type="gramEnd"/>
            <w:r w:rsidRPr="000C046C">
              <w:rPr>
                <w:rFonts w:ascii="Times New Roman" w:eastAsia="Times New Roman" w:hAnsi="Times New Roman" w:cs="Times New Roman"/>
                <w:sz w:val="22"/>
                <w:szCs w:val="22"/>
              </w:rPr>
              <w:t>, ** p&lt;.01, * p&lt;.05, + p&lt;.10</w:t>
            </w:r>
          </w:p>
          <w:p w14:paraId="6BBF373F" w14:textId="77777777" w:rsidR="004013A1" w:rsidRPr="000C046C" w:rsidRDefault="004013A1" w:rsidP="00975134">
            <w:pPr>
              <w:keepNext/>
              <w:keepLines/>
              <w:spacing w:before="200"/>
              <w:contextualSpacing/>
              <w:outlineLvl w:val="4"/>
              <w:rPr>
                <w:rFonts w:ascii="Times New Roman" w:eastAsia="Times New Roman" w:hAnsi="Times New Roman" w:cs="Times New Roman"/>
                <w:sz w:val="22"/>
                <w:szCs w:val="22"/>
              </w:rPr>
            </w:pPr>
            <w:proofErr w:type="gramStart"/>
            <w:r w:rsidRPr="000C046C">
              <w:rPr>
                <w:rFonts w:ascii="Times New Roman" w:eastAsia="Times New Roman" w:hAnsi="Times New Roman" w:cs="Times New Roman"/>
                <w:sz w:val="22"/>
                <w:szCs w:val="22"/>
                <w:vertAlign w:val="superscript"/>
              </w:rPr>
              <w:t>a</w:t>
            </w:r>
            <w:proofErr w:type="gramEnd"/>
            <w:r w:rsidRPr="000C046C">
              <w:rPr>
                <w:rFonts w:ascii="Times New Roman" w:eastAsia="Times New Roman" w:hAnsi="Times New Roman" w:cs="Times New Roman"/>
                <w:sz w:val="22"/>
                <w:szCs w:val="22"/>
                <w:vertAlign w:val="superscript"/>
              </w:rPr>
              <w:t xml:space="preserve"> </w:t>
            </w:r>
            <w:r w:rsidRPr="000C046C">
              <w:rPr>
                <w:rFonts w:ascii="Times New Roman" w:eastAsia="Times New Roman" w:hAnsi="Times New Roman" w:cs="Times New Roman"/>
                <w:sz w:val="22"/>
                <w:szCs w:val="22"/>
              </w:rPr>
              <w:t>omitted category is non-reciprocation</w:t>
            </w:r>
          </w:p>
        </w:tc>
      </w:tr>
    </w:tbl>
    <w:p w14:paraId="102000AB" w14:textId="77777777" w:rsidR="004013A1" w:rsidRDefault="004013A1" w:rsidP="004013A1">
      <w:pPr>
        <w:rPr>
          <w:rFonts w:ascii="Times New Roman" w:hAnsi="Times New Roman" w:cs="Times New Roman"/>
        </w:rPr>
      </w:pPr>
      <w:r>
        <w:rPr>
          <w:rFonts w:ascii="Times New Roman" w:hAnsi="Times New Roman" w:cs="Times New Roman"/>
        </w:rPr>
        <w:br w:type="page"/>
      </w:r>
    </w:p>
    <w:p w14:paraId="36C65AB7" w14:textId="77777777" w:rsidR="004013A1" w:rsidRDefault="004013A1" w:rsidP="004013A1">
      <w:pPr>
        <w:rPr>
          <w:rFonts w:ascii="Times New Roman" w:hAnsi="Times New Roman" w:cs="Times New Roman"/>
        </w:rPr>
      </w:pPr>
      <w:r w:rsidRPr="00A26842">
        <w:rPr>
          <w:rFonts w:ascii="Times New Roman" w:hAnsi="Times New Roman" w:cs="Times New Roman"/>
          <w:noProof/>
        </w:rPr>
        <w:drawing>
          <wp:inline distT="0" distB="0" distL="0" distR="0" wp14:anchorId="68528DD5" wp14:editId="42181A8B">
            <wp:extent cx="3217529" cy="7543800"/>
            <wp:effectExtent l="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7529" cy="7543800"/>
                    </a:xfrm>
                    <a:prstGeom prst="rect">
                      <a:avLst/>
                    </a:prstGeom>
                    <a:noFill/>
                    <a:ln>
                      <a:noFill/>
                    </a:ln>
                  </pic:spPr>
                </pic:pic>
              </a:graphicData>
            </a:graphic>
          </wp:inline>
        </w:drawing>
      </w:r>
    </w:p>
    <w:tbl>
      <w:tblPr>
        <w:tblW w:w="512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171"/>
        <w:gridCol w:w="1170"/>
        <w:gridCol w:w="810"/>
        <w:gridCol w:w="540"/>
      </w:tblGrid>
      <w:tr w:rsidR="004013A1" w:rsidRPr="004D4FD7" w14:paraId="0B8C709F" w14:textId="77777777" w:rsidTr="00975134">
        <w:trPr>
          <w:trHeight w:val="300"/>
          <w:jc w:val="center"/>
        </w:trPr>
        <w:tc>
          <w:tcPr>
            <w:tcW w:w="5129" w:type="dxa"/>
            <w:gridSpan w:val="5"/>
            <w:shd w:val="clear" w:color="auto" w:fill="auto"/>
            <w:noWrap/>
            <w:vAlign w:val="bottom"/>
          </w:tcPr>
          <w:p w14:paraId="7292F9F7" w14:textId="77777777" w:rsidR="004013A1" w:rsidRPr="004D4FD7" w:rsidRDefault="004013A1" w:rsidP="00975134">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APPENDIX </w:t>
            </w:r>
            <w:r w:rsidRPr="004D4FD7">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3</w:t>
            </w:r>
            <w:r w:rsidRPr="004D4FD7">
              <w:rPr>
                <w:rFonts w:ascii="Times New Roman" w:eastAsia="Times New Roman" w:hAnsi="Times New Roman" w:cs="Times New Roman"/>
                <w:color w:val="000000"/>
              </w:rPr>
              <w:t xml:space="preserve">. Probability of Reciprocation </w:t>
            </w:r>
            <w:r>
              <w:rPr>
                <w:rFonts w:ascii="Times New Roman" w:eastAsia="Times New Roman" w:hAnsi="Times New Roman" w:cs="Times New Roman"/>
                <w:color w:val="000000"/>
              </w:rPr>
              <w:t xml:space="preserve">and Violent Reciprocation </w:t>
            </w:r>
            <w:r w:rsidRPr="004D4FD7">
              <w:rPr>
                <w:rFonts w:ascii="Times New Roman" w:eastAsia="Times New Roman" w:hAnsi="Times New Roman" w:cs="Times New Roman"/>
                <w:color w:val="000000"/>
              </w:rPr>
              <w:t xml:space="preserve">as Number of Parties and </w:t>
            </w:r>
            <w:r>
              <w:rPr>
                <w:rFonts w:ascii="Times New Roman" w:eastAsia="Times New Roman" w:hAnsi="Times New Roman" w:cs="Times New Roman"/>
                <w:color w:val="000000"/>
              </w:rPr>
              <w:t>TV</w:t>
            </w:r>
            <w:r w:rsidRPr="004D4FD7">
              <w:rPr>
                <w:rFonts w:ascii="Times New Roman" w:eastAsia="Times New Roman" w:hAnsi="Times New Roman" w:cs="Times New Roman"/>
                <w:color w:val="000000"/>
              </w:rPr>
              <w:t xml:space="preserve"> Access Vary from One Standard Deviation Below to One Standard Deviation Above the Mean Values Among Democracies</w:t>
            </w:r>
          </w:p>
        </w:tc>
      </w:tr>
      <w:tr w:rsidR="004013A1" w:rsidRPr="004D4FD7" w14:paraId="313109AA" w14:textId="77777777" w:rsidTr="00975134">
        <w:trPr>
          <w:trHeight w:val="300"/>
          <w:jc w:val="center"/>
        </w:trPr>
        <w:tc>
          <w:tcPr>
            <w:tcW w:w="5129" w:type="dxa"/>
            <w:gridSpan w:val="5"/>
            <w:shd w:val="clear" w:color="auto" w:fill="auto"/>
            <w:noWrap/>
            <w:vAlign w:val="bottom"/>
          </w:tcPr>
          <w:p w14:paraId="25C928DA" w14:textId="77777777" w:rsidR="004013A1" w:rsidRPr="004D4FD7" w:rsidRDefault="004013A1" w:rsidP="00975134">
            <w:pPr>
              <w:keepNext/>
              <w:keepLine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All Reciprocation (Model 1)</w:t>
            </w:r>
          </w:p>
        </w:tc>
      </w:tr>
      <w:tr w:rsidR="004013A1" w:rsidRPr="004D4FD7" w14:paraId="233BD72D" w14:textId="77777777" w:rsidTr="00975134">
        <w:trPr>
          <w:trHeight w:val="300"/>
          <w:jc w:val="center"/>
        </w:trPr>
        <w:tc>
          <w:tcPr>
            <w:tcW w:w="1438" w:type="dxa"/>
            <w:shd w:val="clear" w:color="auto" w:fill="auto"/>
            <w:noWrap/>
            <w:vAlign w:val="bottom"/>
            <w:hideMark/>
          </w:tcPr>
          <w:p w14:paraId="414C89C3" w14:textId="77777777" w:rsidR="004013A1" w:rsidRPr="004D4FD7" w:rsidRDefault="004013A1" w:rsidP="00975134">
            <w:pPr>
              <w:keepNext/>
              <w:keepLines/>
              <w:jc w:val="right"/>
              <w:rPr>
                <w:rFonts w:ascii="Times New Roman" w:eastAsia="Times New Roman" w:hAnsi="Times New Roman" w:cs="Times New Roman"/>
                <w:b/>
                <w:color w:val="000000"/>
              </w:rPr>
            </w:pPr>
          </w:p>
        </w:tc>
        <w:tc>
          <w:tcPr>
            <w:tcW w:w="1171" w:type="dxa"/>
            <w:shd w:val="clear" w:color="auto" w:fill="auto"/>
            <w:noWrap/>
            <w:vAlign w:val="bottom"/>
            <w:hideMark/>
          </w:tcPr>
          <w:p w14:paraId="304DD0DD" w14:textId="77777777" w:rsidR="004013A1" w:rsidRPr="004D4FD7" w:rsidRDefault="004013A1" w:rsidP="00975134">
            <w:pPr>
              <w:keepNext/>
              <w:keepLines/>
              <w:jc w:val="right"/>
              <w:rPr>
                <w:rFonts w:ascii="Times New Roman" w:eastAsia="Times New Roman" w:hAnsi="Times New Roman" w:cs="Times New Roman"/>
                <w:b/>
                <w:color w:val="000000"/>
                <w:sz w:val="20"/>
                <w:szCs w:val="20"/>
                <w:u w:val="single"/>
              </w:rPr>
            </w:pPr>
            <w:r w:rsidRPr="004D4FD7">
              <w:rPr>
                <w:rFonts w:ascii="Times New Roman" w:eastAsia="Times New Roman" w:hAnsi="Times New Roman" w:cs="Times New Roman"/>
                <w:b/>
                <w:color w:val="000000"/>
                <w:u w:val="single"/>
              </w:rPr>
              <w:t>Low TV Access</w:t>
            </w:r>
          </w:p>
        </w:tc>
        <w:tc>
          <w:tcPr>
            <w:tcW w:w="1170" w:type="dxa"/>
            <w:shd w:val="clear" w:color="auto" w:fill="auto"/>
            <w:noWrap/>
            <w:vAlign w:val="bottom"/>
            <w:hideMark/>
          </w:tcPr>
          <w:p w14:paraId="34526BA7" w14:textId="77777777" w:rsidR="004013A1" w:rsidRPr="004D4FD7" w:rsidRDefault="004013A1" w:rsidP="00975134">
            <w:pPr>
              <w:keepNext/>
              <w:keepLines/>
              <w:jc w:val="right"/>
              <w:rPr>
                <w:rFonts w:ascii="Times New Roman" w:eastAsia="Times New Roman" w:hAnsi="Times New Roman" w:cs="Times New Roman"/>
                <w:b/>
                <w:color w:val="000000"/>
                <w:sz w:val="20"/>
                <w:szCs w:val="20"/>
                <w:u w:val="single"/>
              </w:rPr>
            </w:pPr>
            <w:r w:rsidRPr="004D4FD7">
              <w:rPr>
                <w:rFonts w:ascii="Times New Roman" w:eastAsia="Times New Roman" w:hAnsi="Times New Roman" w:cs="Times New Roman"/>
                <w:b/>
                <w:color w:val="000000"/>
                <w:u w:val="single"/>
              </w:rPr>
              <w:t>High TV Access</w:t>
            </w:r>
          </w:p>
        </w:tc>
        <w:tc>
          <w:tcPr>
            <w:tcW w:w="810" w:type="dxa"/>
            <w:shd w:val="clear" w:color="auto" w:fill="auto"/>
            <w:noWrap/>
            <w:vAlign w:val="bottom"/>
            <w:hideMark/>
          </w:tcPr>
          <w:p w14:paraId="58F8B671" w14:textId="77777777" w:rsidR="004013A1" w:rsidRPr="004D4FD7" w:rsidRDefault="004013A1" w:rsidP="00975134">
            <w:pPr>
              <w:keepNext/>
              <w:keepLines/>
              <w:jc w:val="right"/>
              <w:rPr>
                <w:rFonts w:ascii="Times New Roman" w:eastAsia="Times New Roman" w:hAnsi="Times New Roman" w:cs="Times New Roman"/>
                <w:b/>
                <w:color w:val="000000"/>
                <w:sz w:val="20"/>
                <w:szCs w:val="20"/>
                <w:u w:val="single"/>
              </w:rPr>
            </w:pPr>
            <w:r w:rsidRPr="004D4FD7">
              <w:rPr>
                <w:rFonts w:ascii="Times New Roman" w:eastAsia="Times New Roman" w:hAnsi="Times New Roman" w:cs="Times New Roman"/>
                <w:b/>
                <w:color w:val="000000"/>
                <w:u w:val="single"/>
              </w:rPr>
              <w:t>Diff</w:t>
            </w:r>
          </w:p>
        </w:tc>
        <w:tc>
          <w:tcPr>
            <w:tcW w:w="540" w:type="dxa"/>
            <w:shd w:val="clear" w:color="auto" w:fill="auto"/>
            <w:noWrap/>
            <w:vAlign w:val="bottom"/>
            <w:hideMark/>
          </w:tcPr>
          <w:p w14:paraId="587BDF8C" w14:textId="77777777" w:rsidR="004013A1" w:rsidRPr="004D4FD7" w:rsidRDefault="004013A1" w:rsidP="00975134">
            <w:pPr>
              <w:keepNext/>
              <w:keepLines/>
              <w:jc w:val="right"/>
              <w:rPr>
                <w:rFonts w:ascii="Times New Roman" w:eastAsia="Times New Roman" w:hAnsi="Times New Roman" w:cs="Times New Roman"/>
                <w:b/>
                <w:color w:val="000000"/>
              </w:rPr>
            </w:pPr>
          </w:p>
        </w:tc>
      </w:tr>
      <w:tr w:rsidR="004013A1" w:rsidRPr="004D4FD7" w14:paraId="125A47A6" w14:textId="77777777" w:rsidTr="00975134">
        <w:trPr>
          <w:trHeight w:val="300"/>
          <w:jc w:val="center"/>
        </w:trPr>
        <w:tc>
          <w:tcPr>
            <w:tcW w:w="1438" w:type="dxa"/>
            <w:shd w:val="clear" w:color="auto" w:fill="auto"/>
            <w:noWrap/>
            <w:vAlign w:val="bottom"/>
            <w:hideMark/>
          </w:tcPr>
          <w:p w14:paraId="49BAA09B"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Low-ENPP</w:t>
            </w:r>
          </w:p>
        </w:tc>
        <w:tc>
          <w:tcPr>
            <w:tcW w:w="1171" w:type="dxa"/>
            <w:shd w:val="clear" w:color="auto" w:fill="auto"/>
            <w:noWrap/>
            <w:vAlign w:val="bottom"/>
            <w:hideMark/>
          </w:tcPr>
          <w:p w14:paraId="17B02A2F"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0.4</w:t>
            </w:r>
            <w:r>
              <w:rPr>
                <w:rFonts w:ascii="Times New Roman" w:eastAsia="Times New Roman" w:hAnsi="Times New Roman" w:cs="Times New Roman"/>
                <w:color w:val="000000"/>
              </w:rPr>
              <w:t>5</w:t>
            </w:r>
          </w:p>
        </w:tc>
        <w:tc>
          <w:tcPr>
            <w:tcW w:w="1170" w:type="dxa"/>
            <w:shd w:val="clear" w:color="auto" w:fill="auto"/>
            <w:noWrap/>
            <w:vAlign w:val="bottom"/>
            <w:hideMark/>
          </w:tcPr>
          <w:p w14:paraId="5C4F18AD"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0.3</w:t>
            </w:r>
            <w:r>
              <w:rPr>
                <w:rFonts w:ascii="Times New Roman" w:eastAsia="Times New Roman" w:hAnsi="Times New Roman" w:cs="Times New Roman"/>
                <w:color w:val="000000"/>
              </w:rPr>
              <w:t>6</w:t>
            </w:r>
          </w:p>
        </w:tc>
        <w:tc>
          <w:tcPr>
            <w:tcW w:w="810" w:type="dxa"/>
            <w:shd w:val="clear" w:color="auto" w:fill="auto"/>
            <w:noWrap/>
            <w:vAlign w:val="bottom"/>
            <w:hideMark/>
          </w:tcPr>
          <w:p w14:paraId="61728940"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-0.1</w:t>
            </w:r>
            <w:r>
              <w:rPr>
                <w:rFonts w:ascii="Times New Roman" w:eastAsia="Times New Roman" w:hAnsi="Times New Roman" w:cs="Times New Roman"/>
                <w:color w:val="000000"/>
              </w:rPr>
              <w:t>1</w:t>
            </w:r>
          </w:p>
        </w:tc>
        <w:tc>
          <w:tcPr>
            <w:tcW w:w="540" w:type="dxa"/>
            <w:shd w:val="clear" w:color="auto" w:fill="auto"/>
            <w:noWrap/>
            <w:vAlign w:val="bottom"/>
            <w:hideMark/>
          </w:tcPr>
          <w:p w14:paraId="02084561" w14:textId="77777777" w:rsidR="004013A1" w:rsidRPr="004D4FD7" w:rsidRDefault="004013A1" w:rsidP="00975134">
            <w:pPr>
              <w:keepNext/>
              <w:keepLines/>
              <w:rPr>
                <w:rFonts w:ascii="Times New Roman" w:eastAsia="Times New Roman" w:hAnsi="Times New Roman" w:cs="Times New Roman"/>
                <w:color w:val="000000"/>
              </w:rPr>
            </w:pPr>
          </w:p>
        </w:tc>
      </w:tr>
      <w:tr w:rsidR="004013A1" w:rsidRPr="004D4FD7" w14:paraId="0B2DC8E4" w14:textId="77777777" w:rsidTr="00975134">
        <w:trPr>
          <w:trHeight w:val="300"/>
          <w:jc w:val="center"/>
        </w:trPr>
        <w:tc>
          <w:tcPr>
            <w:tcW w:w="1438" w:type="dxa"/>
            <w:shd w:val="clear" w:color="auto" w:fill="auto"/>
            <w:noWrap/>
            <w:vAlign w:val="bottom"/>
            <w:hideMark/>
          </w:tcPr>
          <w:p w14:paraId="2C7B61A2"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High-ENPP</w:t>
            </w:r>
          </w:p>
        </w:tc>
        <w:tc>
          <w:tcPr>
            <w:tcW w:w="1171" w:type="dxa"/>
            <w:shd w:val="clear" w:color="auto" w:fill="auto"/>
            <w:noWrap/>
            <w:vAlign w:val="bottom"/>
            <w:hideMark/>
          </w:tcPr>
          <w:p w14:paraId="145D426B"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4</w:t>
            </w:r>
            <w:r w:rsidRPr="004D4FD7">
              <w:rPr>
                <w:rFonts w:ascii="Times New Roman" w:eastAsia="Times New Roman" w:hAnsi="Times New Roman" w:cs="Times New Roman"/>
                <w:color w:val="000000"/>
              </w:rPr>
              <w:t>8</w:t>
            </w:r>
          </w:p>
        </w:tc>
        <w:tc>
          <w:tcPr>
            <w:tcW w:w="1170" w:type="dxa"/>
            <w:shd w:val="clear" w:color="auto" w:fill="auto"/>
            <w:noWrap/>
            <w:vAlign w:val="bottom"/>
            <w:hideMark/>
          </w:tcPr>
          <w:p w14:paraId="58C9D00C"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0.03</w:t>
            </w:r>
          </w:p>
        </w:tc>
        <w:tc>
          <w:tcPr>
            <w:tcW w:w="810" w:type="dxa"/>
            <w:shd w:val="clear" w:color="auto" w:fill="auto"/>
            <w:noWrap/>
            <w:vAlign w:val="bottom"/>
            <w:hideMark/>
          </w:tcPr>
          <w:p w14:paraId="513F39A5"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4</w:t>
            </w:r>
            <w:r w:rsidRPr="004D4FD7">
              <w:rPr>
                <w:rFonts w:ascii="Times New Roman" w:eastAsia="Times New Roman" w:hAnsi="Times New Roman" w:cs="Times New Roman"/>
                <w:color w:val="000000"/>
              </w:rPr>
              <w:t>5</w:t>
            </w:r>
          </w:p>
        </w:tc>
        <w:tc>
          <w:tcPr>
            <w:tcW w:w="540" w:type="dxa"/>
            <w:shd w:val="clear" w:color="auto" w:fill="auto"/>
            <w:noWrap/>
            <w:vAlign w:val="bottom"/>
            <w:hideMark/>
          </w:tcPr>
          <w:p w14:paraId="01934E41"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w:t>
            </w:r>
          </w:p>
        </w:tc>
      </w:tr>
      <w:tr w:rsidR="004013A1" w:rsidRPr="004D4FD7" w14:paraId="0056C8A6" w14:textId="77777777" w:rsidTr="00975134">
        <w:trPr>
          <w:trHeight w:val="300"/>
          <w:jc w:val="center"/>
        </w:trPr>
        <w:tc>
          <w:tcPr>
            <w:tcW w:w="1438" w:type="dxa"/>
            <w:shd w:val="clear" w:color="auto" w:fill="auto"/>
            <w:noWrap/>
            <w:vAlign w:val="bottom"/>
            <w:hideMark/>
          </w:tcPr>
          <w:p w14:paraId="76808BEC"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Low-EN</w:t>
            </w:r>
            <w:r>
              <w:rPr>
                <w:rFonts w:ascii="Times New Roman" w:eastAsia="Times New Roman" w:hAnsi="Times New Roman" w:cs="Times New Roman"/>
                <w:color w:val="000000"/>
              </w:rPr>
              <w:t>E</w:t>
            </w:r>
            <w:r w:rsidRPr="004D4FD7">
              <w:rPr>
                <w:rFonts w:ascii="Times New Roman" w:eastAsia="Times New Roman" w:hAnsi="Times New Roman" w:cs="Times New Roman"/>
                <w:color w:val="000000"/>
              </w:rPr>
              <w:t>P</w:t>
            </w:r>
          </w:p>
        </w:tc>
        <w:tc>
          <w:tcPr>
            <w:tcW w:w="1171" w:type="dxa"/>
            <w:shd w:val="clear" w:color="auto" w:fill="auto"/>
            <w:noWrap/>
            <w:vAlign w:val="bottom"/>
            <w:hideMark/>
          </w:tcPr>
          <w:p w14:paraId="3C84D1CF"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37</w:t>
            </w:r>
          </w:p>
        </w:tc>
        <w:tc>
          <w:tcPr>
            <w:tcW w:w="1170" w:type="dxa"/>
            <w:shd w:val="clear" w:color="auto" w:fill="auto"/>
            <w:noWrap/>
            <w:vAlign w:val="bottom"/>
            <w:hideMark/>
          </w:tcPr>
          <w:p w14:paraId="4E71D82D"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36</w:t>
            </w:r>
          </w:p>
        </w:tc>
        <w:tc>
          <w:tcPr>
            <w:tcW w:w="810" w:type="dxa"/>
            <w:shd w:val="clear" w:color="auto" w:fill="auto"/>
            <w:noWrap/>
            <w:vAlign w:val="bottom"/>
            <w:hideMark/>
          </w:tcPr>
          <w:p w14:paraId="007F185C"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w:t>
            </w: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01</w:t>
            </w:r>
          </w:p>
        </w:tc>
        <w:tc>
          <w:tcPr>
            <w:tcW w:w="540" w:type="dxa"/>
            <w:shd w:val="clear" w:color="auto" w:fill="auto"/>
            <w:noWrap/>
            <w:vAlign w:val="bottom"/>
            <w:hideMark/>
          </w:tcPr>
          <w:p w14:paraId="26D62504" w14:textId="77777777" w:rsidR="004013A1" w:rsidRPr="004D4FD7" w:rsidRDefault="004013A1" w:rsidP="00975134">
            <w:pPr>
              <w:keepNext/>
              <w:keepLines/>
              <w:rPr>
                <w:rFonts w:ascii="Times New Roman" w:eastAsia="Times New Roman" w:hAnsi="Times New Roman" w:cs="Times New Roman"/>
                <w:color w:val="000000"/>
              </w:rPr>
            </w:pPr>
          </w:p>
        </w:tc>
      </w:tr>
      <w:tr w:rsidR="004013A1" w:rsidRPr="004D4FD7" w14:paraId="26661FB6" w14:textId="77777777" w:rsidTr="00975134">
        <w:trPr>
          <w:trHeight w:val="300"/>
          <w:jc w:val="center"/>
        </w:trPr>
        <w:tc>
          <w:tcPr>
            <w:tcW w:w="1438" w:type="dxa"/>
            <w:shd w:val="clear" w:color="auto" w:fill="auto"/>
            <w:noWrap/>
            <w:vAlign w:val="bottom"/>
            <w:hideMark/>
          </w:tcPr>
          <w:p w14:paraId="1C5C3E25"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High-EN</w:t>
            </w:r>
            <w:r>
              <w:rPr>
                <w:rFonts w:ascii="Times New Roman" w:eastAsia="Times New Roman" w:hAnsi="Times New Roman" w:cs="Times New Roman"/>
                <w:color w:val="000000"/>
              </w:rPr>
              <w:t>E</w:t>
            </w:r>
            <w:r w:rsidRPr="004D4FD7">
              <w:rPr>
                <w:rFonts w:ascii="Times New Roman" w:eastAsia="Times New Roman" w:hAnsi="Times New Roman" w:cs="Times New Roman"/>
                <w:color w:val="000000"/>
              </w:rPr>
              <w:t>P</w:t>
            </w:r>
          </w:p>
        </w:tc>
        <w:tc>
          <w:tcPr>
            <w:tcW w:w="1171" w:type="dxa"/>
            <w:shd w:val="clear" w:color="auto" w:fill="auto"/>
            <w:noWrap/>
            <w:vAlign w:val="bottom"/>
            <w:hideMark/>
          </w:tcPr>
          <w:p w14:paraId="19C8C542"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55</w:t>
            </w:r>
          </w:p>
        </w:tc>
        <w:tc>
          <w:tcPr>
            <w:tcW w:w="1170" w:type="dxa"/>
            <w:shd w:val="clear" w:color="auto" w:fill="auto"/>
            <w:noWrap/>
            <w:vAlign w:val="bottom"/>
            <w:hideMark/>
          </w:tcPr>
          <w:p w14:paraId="46443AD9"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01</w:t>
            </w:r>
          </w:p>
        </w:tc>
        <w:tc>
          <w:tcPr>
            <w:tcW w:w="810" w:type="dxa"/>
            <w:shd w:val="clear" w:color="auto" w:fill="auto"/>
            <w:noWrap/>
            <w:vAlign w:val="bottom"/>
            <w:hideMark/>
          </w:tcPr>
          <w:p w14:paraId="42926C10"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54</w:t>
            </w:r>
          </w:p>
        </w:tc>
        <w:tc>
          <w:tcPr>
            <w:tcW w:w="540" w:type="dxa"/>
            <w:shd w:val="clear" w:color="auto" w:fill="auto"/>
            <w:noWrap/>
            <w:vAlign w:val="bottom"/>
            <w:hideMark/>
          </w:tcPr>
          <w:p w14:paraId="06488013"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w:t>
            </w:r>
          </w:p>
        </w:tc>
      </w:tr>
      <w:tr w:rsidR="004013A1" w:rsidRPr="004D4FD7" w14:paraId="176D99D4" w14:textId="77777777" w:rsidTr="00975134">
        <w:trPr>
          <w:trHeight w:val="300"/>
          <w:jc w:val="center"/>
        </w:trPr>
        <w:tc>
          <w:tcPr>
            <w:tcW w:w="5129" w:type="dxa"/>
            <w:gridSpan w:val="5"/>
            <w:shd w:val="clear" w:color="auto" w:fill="auto"/>
            <w:noWrap/>
            <w:vAlign w:val="bottom"/>
          </w:tcPr>
          <w:p w14:paraId="36DB558C" w14:textId="77777777" w:rsidR="004013A1" w:rsidRPr="004D4FD7" w:rsidRDefault="004013A1" w:rsidP="00975134">
            <w:pPr>
              <w:keepNext/>
              <w:keepLine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Violent Reciprocation (Model 2)</w:t>
            </w:r>
          </w:p>
        </w:tc>
      </w:tr>
      <w:tr w:rsidR="004013A1" w:rsidRPr="004D4FD7" w14:paraId="4902FD45" w14:textId="77777777" w:rsidTr="00975134">
        <w:trPr>
          <w:trHeight w:val="300"/>
          <w:jc w:val="center"/>
        </w:trPr>
        <w:tc>
          <w:tcPr>
            <w:tcW w:w="1438" w:type="dxa"/>
            <w:shd w:val="clear" w:color="auto" w:fill="auto"/>
            <w:noWrap/>
            <w:vAlign w:val="bottom"/>
            <w:hideMark/>
          </w:tcPr>
          <w:p w14:paraId="62B315CE"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Low-ENPP</w:t>
            </w:r>
          </w:p>
        </w:tc>
        <w:tc>
          <w:tcPr>
            <w:tcW w:w="1171" w:type="dxa"/>
            <w:shd w:val="clear" w:color="auto" w:fill="auto"/>
            <w:noWrap/>
            <w:vAlign w:val="bottom"/>
            <w:hideMark/>
          </w:tcPr>
          <w:p w14:paraId="0B587E18"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28</w:t>
            </w:r>
          </w:p>
        </w:tc>
        <w:tc>
          <w:tcPr>
            <w:tcW w:w="1170" w:type="dxa"/>
            <w:shd w:val="clear" w:color="auto" w:fill="auto"/>
            <w:noWrap/>
            <w:vAlign w:val="bottom"/>
            <w:hideMark/>
          </w:tcPr>
          <w:p w14:paraId="5CEA14AA"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25</w:t>
            </w:r>
          </w:p>
        </w:tc>
        <w:tc>
          <w:tcPr>
            <w:tcW w:w="810" w:type="dxa"/>
            <w:shd w:val="clear" w:color="auto" w:fill="auto"/>
            <w:noWrap/>
            <w:vAlign w:val="bottom"/>
            <w:hideMark/>
          </w:tcPr>
          <w:p w14:paraId="1B27B592"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-0.0</w:t>
            </w:r>
            <w:r>
              <w:rPr>
                <w:rFonts w:ascii="Times New Roman" w:eastAsia="Times New Roman" w:hAnsi="Times New Roman" w:cs="Times New Roman"/>
                <w:color w:val="000000"/>
              </w:rPr>
              <w:t>3</w:t>
            </w:r>
          </w:p>
        </w:tc>
        <w:tc>
          <w:tcPr>
            <w:tcW w:w="540" w:type="dxa"/>
            <w:shd w:val="clear" w:color="auto" w:fill="auto"/>
            <w:noWrap/>
            <w:vAlign w:val="bottom"/>
            <w:hideMark/>
          </w:tcPr>
          <w:p w14:paraId="5D6D6686" w14:textId="77777777" w:rsidR="004013A1" w:rsidRPr="004D4FD7" w:rsidRDefault="004013A1" w:rsidP="00975134">
            <w:pPr>
              <w:keepNext/>
              <w:keepLines/>
              <w:rPr>
                <w:rFonts w:ascii="Times New Roman" w:eastAsia="Times New Roman" w:hAnsi="Times New Roman" w:cs="Times New Roman"/>
                <w:color w:val="000000"/>
              </w:rPr>
            </w:pPr>
          </w:p>
        </w:tc>
      </w:tr>
      <w:tr w:rsidR="004013A1" w:rsidRPr="004D4FD7" w14:paraId="363242C8" w14:textId="77777777" w:rsidTr="00975134">
        <w:trPr>
          <w:trHeight w:val="300"/>
          <w:jc w:val="center"/>
        </w:trPr>
        <w:tc>
          <w:tcPr>
            <w:tcW w:w="1438" w:type="dxa"/>
            <w:shd w:val="clear" w:color="auto" w:fill="auto"/>
            <w:noWrap/>
            <w:vAlign w:val="bottom"/>
            <w:hideMark/>
          </w:tcPr>
          <w:p w14:paraId="12BB0AB3"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High-ENPP</w:t>
            </w:r>
          </w:p>
        </w:tc>
        <w:tc>
          <w:tcPr>
            <w:tcW w:w="1171" w:type="dxa"/>
            <w:shd w:val="clear" w:color="auto" w:fill="auto"/>
            <w:noWrap/>
            <w:vAlign w:val="bottom"/>
            <w:hideMark/>
          </w:tcPr>
          <w:p w14:paraId="2C962535"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37</w:t>
            </w:r>
          </w:p>
        </w:tc>
        <w:tc>
          <w:tcPr>
            <w:tcW w:w="1170" w:type="dxa"/>
            <w:shd w:val="clear" w:color="auto" w:fill="auto"/>
            <w:noWrap/>
            <w:vAlign w:val="bottom"/>
            <w:hideMark/>
          </w:tcPr>
          <w:p w14:paraId="171E343A"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0.0</w:t>
            </w:r>
            <w:r>
              <w:rPr>
                <w:rFonts w:ascii="Times New Roman" w:eastAsia="Times New Roman" w:hAnsi="Times New Roman" w:cs="Times New Roman"/>
                <w:color w:val="000000"/>
              </w:rPr>
              <w:t>2</w:t>
            </w:r>
          </w:p>
        </w:tc>
        <w:tc>
          <w:tcPr>
            <w:tcW w:w="810" w:type="dxa"/>
            <w:shd w:val="clear" w:color="auto" w:fill="auto"/>
            <w:noWrap/>
            <w:vAlign w:val="bottom"/>
            <w:hideMark/>
          </w:tcPr>
          <w:p w14:paraId="7CC663F7"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35</w:t>
            </w:r>
          </w:p>
        </w:tc>
        <w:tc>
          <w:tcPr>
            <w:tcW w:w="540" w:type="dxa"/>
            <w:shd w:val="clear" w:color="auto" w:fill="auto"/>
            <w:noWrap/>
            <w:vAlign w:val="bottom"/>
            <w:hideMark/>
          </w:tcPr>
          <w:p w14:paraId="61F60532"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w:t>
            </w:r>
          </w:p>
        </w:tc>
      </w:tr>
      <w:tr w:rsidR="004013A1" w:rsidRPr="004D4FD7" w14:paraId="35710E7A" w14:textId="77777777" w:rsidTr="00975134">
        <w:trPr>
          <w:trHeight w:val="300"/>
          <w:jc w:val="center"/>
        </w:trPr>
        <w:tc>
          <w:tcPr>
            <w:tcW w:w="1438" w:type="dxa"/>
            <w:shd w:val="clear" w:color="auto" w:fill="auto"/>
            <w:noWrap/>
            <w:vAlign w:val="bottom"/>
            <w:hideMark/>
          </w:tcPr>
          <w:p w14:paraId="4138B08C"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Low-EN</w:t>
            </w:r>
            <w:r>
              <w:rPr>
                <w:rFonts w:ascii="Times New Roman" w:eastAsia="Times New Roman" w:hAnsi="Times New Roman" w:cs="Times New Roman"/>
                <w:color w:val="000000"/>
              </w:rPr>
              <w:t>E</w:t>
            </w:r>
            <w:r w:rsidRPr="004D4FD7">
              <w:rPr>
                <w:rFonts w:ascii="Times New Roman" w:eastAsia="Times New Roman" w:hAnsi="Times New Roman" w:cs="Times New Roman"/>
                <w:color w:val="000000"/>
              </w:rPr>
              <w:t>P</w:t>
            </w:r>
          </w:p>
        </w:tc>
        <w:tc>
          <w:tcPr>
            <w:tcW w:w="1171" w:type="dxa"/>
            <w:shd w:val="clear" w:color="auto" w:fill="auto"/>
            <w:noWrap/>
            <w:vAlign w:val="bottom"/>
            <w:hideMark/>
          </w:tcPr>
          <w:p w14:paraId="36D9C60C"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26</w:t>
            </w:r>
          </w:p>
        </w:tc>
        <w:tc>
          <w:tcPr>
            <w:tcW w:w="1170" w:type="dxa"/>
            <w:shd w:val="clear" w:color="auto" w:fill="auto"/>
            <w:noWrap/>
            <w:vAlign w:val="bottom"/>
            <w:hideMark/>
          </w:tcPr>
          <w:p w14:paraId="5B8F965F"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25</w:t>
            </w:r>
          </w:p>
        </w:tc>
        <w:tc>
          <w:tcPr>
            <w:tcW w:w="810" w:type="dxa"/>
            <w:shd w:val="clear" w:color="auto" w:fill="auto"/>
            <w:noWrap/>
            <w:vAlign w:val="bottom"/>
            <w:hideMark/>
          </w:tcPr>
          <w:p w14:paraId="2E889673"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01</w:t>
            </w:r>
          </w:p>
        </w:tc>
        <w:tc>
          <w:tcPr>
            <w:tcW w:w="540" w:type="dxa"/>
            <w:shd w:val="clear" w:color="auto" w:fill="auto"/>
            <w:noWrap/>
            <w:vAlign w:val="bottom"/>
            <w:hideMark/>
          </w:tcPr>
          <w:p w14:paraId="49008EBF" w14:textId="77777777" w:rsidR="004013A1" w:rsidRPr="004D4FD7" w:rsidRDefault="004013A1" w:rsidP="00975134">
            <w:pPr>
              <w:keepNext/>
              <w:keepLines/>
              <w:rPr>
                <w:rFonts w:ascii="Times New Roman" w:eastAsia="Times New Roman" w:hAnsi="Times New Roman" w:cs="Times New Roman"/>
                <w:color w:val="000000"/>
              </w:rPr>
            </w:pPr>
          </w:p>
        </w:tc>
      </w:tr>
      <w:tr w:rsidR="004013A1" w:rsidRPr="004D4FD7" w14:paraId="6F1BF74B" w14:textId="77777777" w:rsidTr="00975134">
        <w:trPr>
          <w:trHeight w:val="300"/>
          <w:jc w:val="center"/>
        </w:trPr>
        <w:tc>
          <w:tcPr>
            <w:tcW w:w="1438" w:type="dxa"/>
            <w:shd w:val="clear" w:color="auto" w:fill="auto"/>
            <w:noWrap/>
            <w:vAlign w:val="bottom"/>
            <w:hideMark/>
          </w:tcPr>
          <w:p w14:paraId="4D453709"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High-EN</w:t>
            </w:r>
            <w:r>
              <w:rPr>
                <w:rFonts w:ascii="Times New Roman" w:eastAsia="Times New Roman" w:hAnsi="Times New Roman" w:cs="Times New Roman"/>
                <w:color w:val="000000"/>
              </w:rPr>
              <w:t>E</w:t>
            </w:r>
            <w:r w:rsidRPr="004D4FD7">
              <w:rPr>
                <w:rFonts w:ascii="Times New Roman" w:eastAsia="Times New Roman" w:hAnsi="Times New Roman" w:cs="Times New Roman"/>
                <w:color w:val="000000"/>
              </w:rPr>
              <w:t>P</w:t>
            </w:r>
          </w:p>
        </w:tc>
        <w:tc>
          <w:tcPr>
            <w:tcW w:w="1171" w:type="dxa"/>
            <w:shd w:val="clear" w:color="auto" w:fill="auto"/>
            <w:noWrap/>
            <w:vAlign w:val="bottom"/>
            <w:hideMark/>
          </w:tcPr>
          <w:p w14:paraId="735D3081"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40</w:t>
            </w:r>
          </w:p>
        </w:tc>
        <w:tc>
          <w:tcPr>
            <w:tcW w:w="1170" w:type="dxa"/>
            <w:shd w:val="clear" w:color="auto" w:fill="auto"/>
            <w:noWrap/>
            <w:vAlign w:val="bottom"/>
            <w:hideMark/>
          </w:tcPr>
          <w:p w14:paraId="591AB5B4"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0.0</w:t>
            </w:r>
            <w:r>
              <w:rPr>
                <w:rFonts w:ascii="Times New Roman" w:eastAsia="Times New Roman" w:hAnsi="Times New Roman" w:cs="Times New Roman"/>
                <w:color w:val="000000"/>
              </w:rPr>
              <w:t>1</w:t>
            </w:r>
          </w:p>
        </w:tc>
        <w:tc>
          <w:tcPr>
            <w:tcW w:w="810" w:type="dxa"/>
            <w:shd w:val="clear" w:color="auto" w:fill="auto"/>
            <w:noWrap/>
            <w:vAlign w:val="bottom"/>
            <w:hideMark/>
          </w:tcPr>
          <w:p w14:paraId="70B9A982"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39</w:t>
            </w:r>
          </w:p>
        </w:tc>
        <w:tc>
          <w:tcPr>
            <w:tcW w:w="540" w:type="dxa"/>
            <w:shd w:val="clear" w:color="auto" w:fill="auto"/>
            <w:noWrap/>
            <w:vAlign w:val="bottom"/>
            <w:hideMark/>
          </w:tcPr>
          <w:p w14:paraId="1DA8C861"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w:t>
            </w:r>
          </w:p>
        </w:tc>
      </w:tr>
      <w:tr w:rsidR="004013A1" w:rsidRPr="004D4FD7" w14:paraId="3655D098" w14:textId="77777777" w:rsidTr="00975134">
        <w:trPr>
          <w:trHeight w:val="300"/>
          <w:jc w:val="center"/>
        </w:trPr>
        <w:tc>
          <w:tcPr>
            <w:tcW w:w="5129" w:type="dxa"/>
            <w:gridSpan w:val="5"/>
            <w:shd w:val="clear" w:color="auto" w:fill="auto"/>
            <w:noWrap/>
            <w:vAlign w:val="bottom"/>
          </w:tcPr>
          <w:p w14:paraId="1EEAF215" w14:textId="77777777" w:rsidR="004013A1" w:rsidRPr="004D4FD7" w:rsidRDefault="004013A1" w:rsidP="00975134">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sidRPr="000A3CAD">
              <w:rPr>
                <w:rFonts w:ascii="Times New Roman" w:eastAsia="Times New Roman" w:hAnsi="Times New Roman" w:cs="Times New Roman"/>
                <w:i/>
                <w:color w:val="000000"/>
              </w:rPr>
              <w:t>p</w:t>
            </w:r>
            <w:proofErr w:type="gramEnd"/>
            <w:r>
              <w:rPr>
                <w:rFonts w:ascii="Times New Roman" w:eastAsia="Times New Roman" w:hAnsi="Times New Roman" w:cs="Times New Roman"/>
                <w:color w:val="000000"/>
              </w:rPr>
              <w:t xml:space="preserve">&lt;.05, </w:t>
            </w:r>
            <w:r w:rsidRPr="004D4FD7">
              <w:rPr>
                <w:rFonts w:ascii="Times New Roman" w:eastAsia="Times New Roman" w:hAnsi="Times New Roman" w:cs="Times New Roman"/>
                <w:color w:val="000000"/>
              </w:rPr>
              <w:t>**</w:t>
            </w:r>
            <w:r w:rsidRPr="004D4FD7">
              <w:rPr>
                <w:rFonts w:ascii="Times New Roman" w:eastAsia="Times New Roman" w:hAnsi="Times New Roman" w:cs="Times New Roman"/>
                <w:i/>
                <w:color w:val="000000"/>
              </w:rPr>
              <w:t>p</w:t>
            </w:r>
            <w:r w:rsidRPr="004D4FD7">
              <w:rPr>
                <w:rFonts w:ascii="Times New Roman" w:eastAsia="Times New Roman" w:hAnsi="Times New Roman" w:cs="Times New Roman"/>
                <w:color w:val="000000"/>
              </w:rPr>
              <w:t>&lt;.01</w:t>
            </w:r>
          </w:p>
        </w:tc>
      </w:tr>
    </w:tbl>
    <w:p w14:paraId="15301D34" w14:textId="77777777" w:rsidR="004013A1" w:rsidRDefault="004013A1" w:rsidP="004013A1">
      <w:pPr>
        <w:rPr>
          <w:rFonts w:ascii="Times New Roman" w:hAnsi="Times New Roman" w:cs="Times New Roman"/>
        </w:rPr>
      </w:pPr>
    </w:p>
    <w:p w14:paraId="71DD2064" w14:textId="77777777" w:rsidR="004013A1" w:rsidRDefault="004013A1" w:rsidP="004013A1">
      <w:pPr>
        <w:rPr>
          <w:rFonts w:ascii="Times New Roman" w:hAnsi="Times New Roman" w:cs="Times New Roman"/>
        </w:rPr>
      </w:pPr>
      <w:r w:rsidRPr="003F1B2D">
        <w:rPr>
          <w:rFonts w:ascii="Times New Roman" w:hAnsi="Times New Roman" w:cs="Times New Roman"/>
          <w:noProof/>
        </w:rPr>
        <w:drawing>
          <wp:inline distT="0" distB="0" distL="0" distR="0" wp14:anchorId="31BF0B22" wp14:editId="091AD984">
            <wp:extent cx="3975100" cy="7480300"/>
            <wp:effectExtent l="0" t="0" r="12700" b="1270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7480300"/>
                    </a:xfrm>
                    <a:prstGeom prst="rect">
                      <a:avLst/>
                    </a:prstGeom>
                    <a:noFill/>
                    <a:ln>
                      <a:noFill/>
                    </a:ln>
                  </pic:spPr>
                </pic:pic>
              </a:graphicData>
            </a:graphic>
          </wp:inline>
        </w:drawing>
      </w:r>
    </w:p>
    <w:tbl>
      <w:tblPr>
        <w:tblW w:w="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171"/>
        <w:gridCol w:w="1170"/>
        <w:gridCol w:w="810"/>
        <w:gridCol w:w="540"/>
      </w:tblGrid>
      <w:tr w:rsidR="004013A1" w:rsidRPr="004D4FD7" w14:paraId="1FCFE32A" w14:textId="77777777" w:rsidTr="00975134">
        <w:trPr>
          <w:trHeight w:val="300"/>
        </w:trPr>
        <w:tc>
          <w:tcPr>
            <w:tcW w:w="5129" w:type="dxa"/>
            <w:gridSpan w:val="5"/>
            <w:shd w:val="clear" w:color="auto" w:fill="auto"/>
            <w:noWrap/>
            <w:vAlign w:val="bottom"/>
          </w:tcPr>
          <w:p w14:paraId="4B3087A0" w14:textId="77777777" w:rsidR="004013A1" w:rsidRPr="004D4FD7" w:rsidRDefault="004013A1" w:rsidP="00975134">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Appendix </w:t>
            </w:r>
            <w:r w:rsidRPr="004D4FD7">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5</w:t>
            </w:r>
            <w:r w:rsidRPr="004D4FD7">
              <w:rPr>
                <w:rFonts w:ascii="Times New Roman" w:eastAsia="Times New Roman" w:hAnsi="Times New Roman" w:cs="Times New Roman"/>
                <w:color w:val="000000"/>
              </w:rPr>
              <w:t xml:space="preserve">. Probability </w:t>
            </w:r>
            <w:r>
              <w:rPr>
                <w:rFonts w:ascii="Times New Roman" w:eastAsia="Times New Roman" w:hAnsi="Times New Roman" w:cs="Times New Roman"/>
                <w:color w:val="000000"/>
              </w:rPr>
              <w:t xml:space="preserve">Victory, </w:t>
            </w:r>
            <w:r w:rsidRPr="004D4FD7">
              <w:rPr>
                <w:rFonts w:ascii="Times New Roman" w:eastAsia="Times New Roman" w:hAnsi="Times New Roman" w:cs="Times New Roman"/>
                <w:color w:val="000000"/>
              </w:rPr>
              <w:t xml:space="preserve">as Number of Parties and </w:t>
            </w:r>
            <w:r>
              <w:rPr>
                <w:rFonts w:ascii="Times New Roman" w:eastAsia="Times New Roman" w:hAnsi="Times New Roman" w:cs="Times New Roman"/>
                <w:color w:val="000000"/>
              </w:rPr>
              <w:t>TV</w:t>
            </w:r>
            <w:r w:rsidRPr="004D4FD7">
              <w:rPr>
                <w:rFonts w:ascii="Times New Roman" w:eastAsia="Times New Roman" w:hAnsi="Times New Roman" w:cs="Times New Roman"/>
                <w:color w:val="000000"/>
              </w:rPr>
              <w:t xml:space="preserve"> Access Vary from One Standard Deviation Below to One Standard Deviation Above the Mean Values Among Democracies</w:t>
            </w:r>
          </w:p>
        </w:tc>
      </w:tr>
      <w:tr w:rsidR="004013A1" w:rsidRPr="004D4FD7" w14:paraId="145721B0" w14:textId="77777777" w:rsidTr="00975134">
        <w:trPr>
          <w:trHeight w:val="300"/>
        </w:trPr>
        <w:tc>
          <w:tcPr>
            <w:tcW w:w="5129" w:type="dxa"/>
            <w:gridSpan w:val="5"/>
            <w:shd w:val="clear" w:color="auto" w:fill="auto"/>
            <w:noWrap/>
            <w:vAlign w:val="bottom"/>
          </w:tcPr>
          <w:p w14:paraId="054A742A" w14:textId="77777777" w:rsidR="004013A1" w:rsidRPr="004D4FD7" w:rsidRDefault="004013A1" w:rsidP="00975134">
            <w:pPr>
              <w:keepNext/>
              <w:keepLine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All Reciprocation</w:t>
            </w:r>
          </w:p>
        </w:tc>
      </w:tr>
      <w:tr w:rsidR="004013A1" w:rsidRPr="004D4FD7" w14:paraId="1863FAA6" w14:textId="77777777" w:rsidTr="00975134">
        <w:trPr>
          <w:trHeight w:val="300"/>
        </w:trPr>
        <w:tc>
          <w:tcPr>
            <w:tcW w:w="1438" w:type="dxa"/>
            <w:shd w:val="clear" w:color="auto" w:fill="auto"/>
            <w:noWrap/>
            <w:vAlign w:val="bottom"/>
            <w:hideMark/>
          </w:tcPr>
          <w:p w14:paraId="6DB419C7" w14:textId="77777777" w:rsidR="004013A1" w:rsidRPr="004D4FD7" w:rsidRDefault="004013A1" w:rsidP="00975134">
            <w:pPr>
              <w:keepNext/>
              <w:keepLines/>
              <w:jc w:val="right"/>
              <w:rPr>
                <w:rFonts w:ascii="Times New Roman" w:eastAsia="Times New Roman" w:hAnsi="Times New Roman" w:cs="Times New Roman"/>
                <w:b/>
                <w:color w:val="000000"/>
              </w:rPr>
            </w:pPr>
          </w:p>
        </w:tc>
        <w:tc>
          <w:tcPr>
            <w:tcW w:w="1171" w:type="dxa"/>
            <w:shd w:val="clear" w:color="auto" w:fill="auto"/>
            <w:noWrap/>
            <w:vAlign w:val="bottom"/>
            <w:hideMark/>
          </w:tcPr>
          <w:p w14:paraId="314DD404" w14:textId="77777777" w:rsidR="004013A1" w:rsidRPr="004D4FD7" w:rsidRDefault="004013A1" w:rsidP="00975134">
            <w:pPr>
              <w:keepNext/>
              <w:keepLines/>
              <w:jc w:val="right"/>
              <w:rPr>
                <w:rFonts w:ascii="Times New Roman" w:eastAsia="Times New Roman" w:hAnsi="Times New Roman" w:cs="Times New Roman"/>
                <w:b/>
                <w:color w:val="000000"/>
                <w:sz w:val="20"/>
                <w:szCs w:val="20"/>
                <w:u w:val="single"/>
              </w:rPr>
            </w:pPr>
            <w:r w:rsidRPr="004D4FD7">
              <w:rPr>
                <w:rFonts w:ascii="Times New Roman" w:eastAsia="Times New Roman" w:hAnsi="Times New Roman" w:cs="Times New Roman"/>
                <w:b/>
                <w:color w:val="000000"/>
                <w:u w:val="single"/>
              </w:rPr>
              <w:t>Low TV Access</w:t>
            </w:r>
          </w:p>
        </w:tc>
        <w:tc>
          <w:tcPr>
            <w:tcW w:w="1170" w:type="dxa"/>
            <w:shd w:val="clear" w:color="auto" w:fill="auto"/>
            <w:noWrap/>
            <w:vAlign w:val="bottom"/>
            <w:hideMark/>
          </w:tcPr>
          <w:p w14:paraId="11CB6683" w14:textId="77777777" w:rsidR="004013A1" w:rsidRPr="004D4FD7" w:rsidRDefault="004013A1" w:rsidP="00975134">
            <w:pPr>
              <w:keepNext/>
              <w:keepLines/>
              <w:jc w:val="right"/>
              <w:rPr>
                <w:rFonts w:ascii="Times New Roman" w:eastAsia="Times New Roman" w:hAnsi="Times New Roman" w:cs="Times New Roman"/>
                <w:b/>
                <w:color w:val="000000"/>
                <w:sz w:val="20"/>
                <w:szCs w:val="20"/>
                <w:u w:val="single"/>
              </w:rPr>
            </w:pPr>
            <w:r w:rsidRPr="004D4FD7">
              <w:rPr>
                <w:rFonts w:ascii="Times New Roman" w:eastAsia="Times New Roman" w:hAnsi="Times New Roman" w:cs="Times New Roman"/>
                <w:b/>
                <w:color w:val="000000"/>
                <w:u w:val="single"/>
              </w:rPr>
              <w:t>High TV Access</w:t>
            </w:r>
          </w:p>
        </w:tc>
        <w:tc>
          <w:tcPr>
            <w:tcW w:w="810" w:type="dxa"/>
            <w:shd w:val="clear" w:color="auto" w:fill="auto"/>
            <w:noWrap/>
            <w:vAlign w:val="bottom"/>
            <w:hideMark/>
          </w:tcPr>
          <w:p w14:paraId="432866E3" w14:textId="77777777" w:rsidR="004013A1" w:rsidRPr="004D4FD7" w:rsidRDefault="004013A1" w:rsidP="00975134">
            <w:pPr>
              <w:keepNext/>
              <w:keepLines/>
              <w:jc w:val="right"/>
              <w:rPr>
                <w:rFonts w:ascii="Times New Roman" w:eastAsia="Times New Roman" w:hAnsi="Times New Roman" w:cs="Times New Roman"/>
                <w:b/>
                <w:color w:val="000000"/>
                <w:sz w:val="20"/>
                <w:szCs w:val="20"/>
                <w:u w:val="single"/>
              </w:rPr>
            </w:pPr>
            <w:r w:rsidRPr="004D4FD7">
              <w:rPr>
                <w:rFonts w:ascii="Times New Roman" w:eastAsia="Times New Roman" w:hAnsi="Times New Roman" w:cs="Times New Roman"/>
                <w:b/>
                <w:color w:val="000000"/>
                <w:u w:val="single"/>
              </w:rPr>
              <w:t>Diff</w:t>
            </w:r>
          </w:p>
        </w:tc>
        <w:tc>
          <w:tcPr>
            <w:tcW w:w="540" w:type="dxa"/>
            <w:shd w:val="clear" w:color="auto" w:fill="auto"/>
            <w:noWrap/>
            <w:vAlign w:val="bottom"/>
            <w:hideMark/>
          </w:tcPr>
          <w:p w14:paraId="7FFFEE40" w14:textId="77777777" w:rsidR="004013A1" w:rsidRPr="004D4FD7" w:rsidRDefault="004013A1" w:rsidP="00975134">
            <w:pPr>
              <w:keepNext/>
              <w:keepLines/>
              <w:jc w:val="right"/>
              <w:rPr>
                <w:rFonts w:ascii="Times New Roman" w:eastAsia="Times New Roman" w:hAnsi="Times New Roman" w:cs="Times New Roman"/>
                <w:b/>
                <w:color w:val="000000"/>
              </w:rPr>
            </w:pPr>
          </w:p>
        </w:tc>
      </w:tr>
      <w:tr w:rsidR="004013A1" w:rsidRPr="004D4FD7" w14:paraId="187231CF" w14:textId="77777777" w:rsidTr="00975134">
        <w:trPr>
          <w:trHeight w:val="300"/>
        </w:trPr>
        <w:tc>
          <w:tcPr>
            <w:tcW w:w="1438" w:type="dxa"/>
            <w:shd w:val="clear" w:color="auto" w:fill="auto"/>
            <w:noWrap/>
            <w:vAlign w:val="bottom"/>
            <w:hideMark/>
          </w:tcPr>
          <w:p w14:paraId="4E936D46"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Low-ENPP</w:t>
            </w:r>
          </w:p>
        </w:tc>
        <w:tc>
          <w:tcPr>
            <w:tcW w:w="1171" w:type="dxa"/>
            <w:shd w:val="clear" w:color="auto" w:fill="auto"/>
            <w:noWrap/>
            <w:vAlign w:val="bottom"/>
            <w:hideMark/>
          </w:tcPr>
          <w:p w14:paraId="08D3EE66"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10</w:t>
            </w:r>
          </w:p>
        </w:tc>
        <w:tc>
          <w:tcPr>
            <w:tcW w:w="1170" w:type="dxa"/>
            <w:shd w:val="clear" w:color="auto" w:fill="auto"/>
            <w:noWrap/>
            <w:vAlign w:val="bottom"/>
            <w:hideMark/>
          </w:tcPr>
          <w:p w14:paraId="456D7BF9"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04</w:t>
            </w:r>
          </w:p>
        </w:tc>
        <w:tc>
          <w:tcPr>
            <w:tcW w:w="810" w:type="dxa"/>
            <w:shd w:val="clear" w:color="auto" w:fill="auto"/>
            <w:noWrap/>
            <w:vAlign w:val="bottom"/>
            <w:hideMark/>
          </w:tcPr>
          <w:p w14:paraId="1439CCC9"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-.06</w:t>
            </w:r>
          </w:p>
        </w:tc>
        <w:tc>
          <w:tcPr>
            <w:tcW w:w="540" w:type="dxa"/>
            <w:shd w:val="clear" w:color="auto" w:fill="auto"/>
            <w:noWrap/>
            <w:vAlign w:val="bottom"/>
            <w:hideMark/>
          </w:tcPr>
          <w:p w14:paraId="0871FFE2" w14:textId="77777777" w:rsidR="004013A1" w:rsidRPr="004D4FD7" w:rsidRDefault="004013A1" w:rsidP="00975134">
            <w:pPr>
              <w:keepNext/>
              <w:keepLines/>
              <w:rPr>
                <w:rFonts w:ascii="Times New Roman" w:eastAsia="Times New Roman" w:hAnsi="Times New Roman" w:cs="Times New Roman"/>
                <w:color w:val="000000"/>
              </w:rPr>
            </w:pPr>
          </w:p>
        </w:tc>
      </w:tr>
      <w:tr w:rsidR="004013A1" w:rsidRPr="004D4FD7" w14:paraId="5096A4FC" w14:textId="77777777" w:rsidTr="00975134">
        <w:trPr>
          <w:trHeight w:val="300"/>
        </w:trPr>
        <w:tc>
          <w:tcPr>
            <w:tcW w:w="1438" w:type="dxa"/>
            <w:shd w:val="clear" w:color="auto" w:fill="auto"/>
            <w:noWrap/>
            <w:vAlign w:val="bottom"/>
            <w:hideMark/>
          </w:tcPr>
          <w:p w14:paraId="6FED8838"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High-ENPP</w:t>
            </w:r>
          </w:p>
        </w:tc>
        <w:tc>
          <w:tcPr>
            <w:tcW w:w="1171" w:type="dxa"/>
            <w:shd w:val="clear" w:color="auto" w:fill="auto"/>
            <w:noWrap/>
            <w:vAlign w:val="bottom"/>
            <w:hideMark/>
          </w:tcPr>
          <w:p w14:paraId="068FCB20"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01</w:t>
            </w:r>
          </w:p>
        </w:tc>
        <w:tc>
          <w:tcPr>
            <w:tcW w:w="1170" w:type="dxa"/>
            <w:shd w:val="clear" w:color="auto" w:fill="auto"/>
            <w:noWrap/>
            <w:vAlign w:val="bottom"/>
            <w:hideMark/>
          </w:tcPr>
          <w:p w14:paraId="55704AFD"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35</w:t>
            </w:r>
          </w:p>
        </w:tc>
        <w:tc>
          <w:tcPr>
            <w:tcW w:w="810" w:type="dxa"/>
            <w:shd w:val="clear" w:color="auto" w:fill="auto"/>
            <w:noWrap/>
            <w:vAlign w:val="bottom"/>
            <w:hideMark/>
          </w:tcPr>
          <w:p w14:paraId="4FF9A6DF"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0.35</w:t>
            </w:r>
          </w:p>
        </w:tc>
        <w:tc>
          <w:tcPr>
            <w:tcW w:w="540" w:type="dxa"/>
            <w:shd w:val="clear" w:color="auto" w:fill="auto"/>
            <w:noWrap/>
            <w:vAlign w:val="bottom"/>
            <w:hideMark/>
          </w:tcPr>
          <w:p w14:paraId="3783A67C" w14:textId="77777777" w:rsidR="004013A1" w:rsidRPr="004D4FD7" w:rsidRDefault="004013A1" w:rsidP="00975134">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4013A1" w:rsidRPr="004D4FD7" w14:paraId="2B177925" w14:textId="77777777" w:rsidTr="00975134">
        <w:trPr>
          <w:trHeight w:val="300"/>
        </w:trPr>
        <w:tc>
          <w:tcPr>
            <w:tcW w:w="1438" w:type="dxa"/>
            <w:shd w:val="clear" w:color="auto" w:fill="auto"/>
            <w:noWrap/>
            <w:vAlign w:val="bottom"/>
            <w:hideMark/>
          </w:tcPr>
          <w:p w14:paraId="3E442B64"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Low-EN</w:t>
            </w:r>
            <w:r>
              <w:rPr>
                <w:rFonts w:ascii="Times New Roman" w:eastAsia="Times New Roman" w:hAnsi="Times New Roman" w:cs="Times New Roman"/>
                <w:color w:val="000000"/>
              </w:rPr>
              <w:t>E</w:t>
            </w:r>
            <w:r w:rsidRPr="004D4FD7">
              <w:rPr>
                <w:rFonts w:ascii="Times New Roman" w:eastAsia="Times New Roman" w:hAnsi="Times New Roman" w:cs="Times New Roman"/>
                <w:color w:val="000000"/>
              </w:rPr>
              <w:t>P</w:t>
            </w:r>
          </w:p>
        </w:tc>
        <w:tc>
          <w:tcPr>
            <w:tcW w:w="1171" w:type="dxa"/>
            <w:shd w:val="clear" w:color="auto" w:fill="auto"/>
            <w:noWrap/>
            <w:vAlign w:val="bottom"/>
            <w:hideMark/>
          </w:tcPr>
          <w:p w14:paraId="58417EFB"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05</w:t>
            </w:r>
          </w:p>
        </w:tc>
        <w:tc>
          <w:tcPr>
            <w:tcW w:w="1170" w:type="dxa"/>
            <w:shd w:val="clear" w:color="auto" w:fill="auto"/>
            <w:noWrap/>
            <w:vAlign w:val="bottom"/>
            <w:hideMark/>
          </w:tcPr>
          <w:p w14:paraId="63B15359"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05</w:t>
            </w:r>
          </w:p>
        </w:tc>
        <w:tc>
          <w:tcPr>
            <w:tcW w:w="810" w:type="dxa"/>
            <w:shd w:val="clear" w:color="auto" w:fill="auto"/>
            <w:noWrap/>
            <w:vAlign w:val="bottom"/>
            <w:hideMark/>
          </w:tcPr>
          <w:p w14:paraId="24D77A50"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00</w:t>
            </w:r>
          </w:p>
        </w:tc>
        <w:tc>
          <w:tcPr>
            <w:tcW w:w="540" w:type="dxa"/>
            <w:shd w:val="clear" w:color="auto" w:fill="auto"/>
            <w:noWrap/>
            <w:vAlign w:val="bottom"/>
            <w:hideMark/>
          </w:tcPr>
          <w:p w14:paraId="797C2800" w14:textId="77777777" w:rsidR="004013A1" w:rsidRPr="004D4FD7" w:rsidRDefault="004013A1" w:rsidP="00975134">
            <w:pPr>
              <w:keepNext/>
              <w:keepLines/>
              <w:rPr>
                <w:rFonts w:ascii="Times New Roman" w:eastAsia="Times New Roman" w:hAnsi="Times New Roman" w:cs="Times New Roman"/>
                <w:color w:val="000000"/>
              </w:rPr>
            </w:pPr>
          </w:p>
        </w:tc>
      </w:tr>
      <w:tr w:rsidR="004013A1" w:rsidRPr="004D4FD7" w14:paraId="204F3C18" w14:textId="77777777" w:rsidTr="00975134">
        <w:trPr>
          <w:trHeight w:val="300"/>
        </w:trPr>
        <w:tc>
          <w:tcPr>
            <w:tcW w:w="1438" w:type="dxa"/>
            <w:shd w:val="clear" w:color="auto" w:fill="auto"/>
            <w:noWrap/>
            <w:vAlign w:val="bottom"/>
            <w:hideMark/>
          </w:tcPr>
          <w:p w14:paraId="3E8F3EB5" w14:textId="77777777" w:rsidR="004013A1" w:rsidRPr="004D4FD7" w:rsidRDefault="004013A1" w:rsidP="00975134">
            <w:pPr>
              <w:keepNext/>
              <w:keepLines/>
              <w:rPr>
                <w:rFonts w:ascii="Times New Roman" w:eastAsia="Times New Roman" w:hAnsi="Times New Roman" w:cs="Times New Roman"/>
                <w:color w:val="000000"/>
              </w:rPr>
            </w:pPr>
            <w:r w:rsidRPr="004D4FD7">
              <w:rPr>
                <w:rFonts w:ascii="Times New Roman" w:eastAsia="Times New Roman" w:hAnsi="Times New Roman" w:cs="Times New Roman"/>
                <w:color w:val="000000"/>
              </w:rPr>
              <w:t>High-EN</w:t>
            </w:r>
            <w:r>
              <w:rPr>
                <w:rFonts w:ascii="Times New Roman" w:eastAsia="Times New Roman" w:hAnsi="Times New Roman" w:cs="Times New Roman"/>
                <w:color w:val="000000"/>
              </w:rPr>
              <w:t>E</w:t>
            </w:r>
            <w:r w:rsidRPr="004D4FD7">
              <w:rPr>
                <w:rFonts w:ascii="Times New Roman" w:eastAsia="Times New Roman" w:hAnsi="Times New Roman" w:cs="Times New Roman"/>
                <w:color w:val="000000"/>
              </w:rPr>
              <w:t>P</w:t>
            </w:r>
          </w:p>
        </w:tc>
        <w:tc>
          <w:tcPr>
            <w:tcW w:w="1171" w:type="dxa"/>
            <w:shd w:val="clear" w:color="auto" w:fill="auto"/>
            <w:noWrap/>
            <w:vAlign w:val="bottom"/>
            <w:hideMark/>
          </w:tcPr>
          <w:p w14:paraId="18657D6C"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02</w:t>
            </w:r>
          </w:p>
        </w:tc>
        <w:tc>
          <w:tcPr>
            <w:tcW w:w="1170" w:type="dxa"/>
            <w:shd w:val="clear" w:color="auto" w:fill="auto"/>
            <w:noWrap/>
            <w:vAlign w:val="bottom"/>
            <w:hideMark/>
          </w:tcPr>
          <w:p w14:paraId="08895FA5"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20</w:t>
            </w:r>
          </w:p>
        </w:tc>
        <w:tc>
          <w:tcPr>
            <w:tcW w:w="810" w:type="dxa"/>
            <w:shd w:val="clear" w:color="auto" w:fill="auto"/>
            <w:noWrap/>
            <w:vAlign w:val="bottom"/>
            <w:hideMark/>
          </w:tcPr>
          <w:p w14:paraId="1926F464" w14:textId="77777777" w:rsidR="004013A1" w:rsidRPr="004D4FD7" w:rsidRDefault="004013A1" w:rsidP="00975134">
            <w:pPr>
              <w:keepNext/>
              <w:keepLines/>
              <w:jc w:val="right"/>
              <w:rPr>
                <w:rFonts w:ascii="Times New Roman" w:eastAsia="Times New Roman" w:hAnsi="Times New Roman" w:cs="Times New Roman"/>
                <w:color w:val="000000"/>
                <w:sz w:val="20"/>
                <w:szCs w:val="20"/>
              </w:rPr>
            </w:pPr>
            <w:r w:rsidRPr="004D4FD7">
              <w:rPr>
                <w:rFonts w:ascii="Times New Roman" w:eastAsia="Times New Roman" w:hAnsi="Times New Roman" w:cs="Times New Roman"/>
                <w:color w:val="000000"/>
              </w:rPr>
              <w:t>0.</w:t>
            </w:r>
            <w:r>
              <w:rPr>
                <w:rFonts w:ascii="Times New Roman" w:eastAsia="Times New Roman" w:hAnsi="Times New Roman" w:cs="Times New Roman"/>
                <w:color w:val="000000"/>
              </w:rPr>
              <w:t>20</w:t>
            </w:r>
          </w:p>
        </w:tc>
        <w:tc>
          <w:tcPr>
            <w:tcW w:w="540" w:type="dxa"/>
            <w:shd w:val="clear" w:color="auto" w:fill="auto"/>
            <w:noWrap/>
            <w:vAlign w:val="bottom"/>
            <w:hideMark/>
          </w:tcPr>
          <w:p w14:paraId="067A63B1" w14:textId="77777777" w:rsidR="004013A1" w:rsidRPr="004D4FD7" w:rsidRDefault="004013A1" w:rsidP="00975134">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4013A1" w:rsidRPr="004D4FD7" w14:paraId="7E06399B" w14:textId="77777777" w:rsidTr="00975134">
        <w:trPr>
          <w:trHeight w:val="300"/>
        </w:trPr>
        <w:tc>
          <w:tcPr>
            <w:tcW w:w="5129" w:type="dxa"/>
            <w:gridSpan w:val="5"/>
            <w:shd w:val="clear" w:color="auto" w:fill="auto"/>
            <w:noWrap/>
            <w:vAlign w:val="bottom"/>
          </w:tcPr>
          <w:p w14:paraId="1AC12070" w14:textId="77777777" w:rsidR="004013A1" w:rsidRPr="004D4FD7" w:rsidRDefault="004013A1" w:rsidP="00975134">
            <w:pPr>
              <w:keepNext/>
              <w:keepLines/>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sidRPr="000A3CAD">
              <w:rPr>
                <w:rFonts w:ascii="Times New Roman" w:eastAsia="Times New Roman" w:hAnsi="Times New Roman" w:cs="Times New Roman"/>
                <w:i/>
                <w:color w:val="000000"/>
              </w:rPr>
              <w:t>p</w:t>
            </w:r>
            <w:proofErr w:type="gramEnd"/>
            <w:r>
              <w:rPr>
                <w:rFonts w:ascii="Times New Roman" w:eastAsia="Times New Roman" w:hAnsi="Times New Roman" w:cs="Times New Roman"/>
                <w:color w:val="000000"/>
              </w:rPr>
              <w:t xml:space="preserve">&lt;.05, </w:t>
            </w:r>
            <w:r w:rsidRPr="004D4FD7">
              <w:rPr>
                <w:rFonts w:ascii="Times New Roman" w:eastAsia="Times New Roman" w:hAnsi="Times New Roman" w:cs="Times New Roman"/>
                <w:color w:val="000000"/>
              </w:rPr>
              <w:t>**</w:t>
            </w:r>
            <w:r w:rsidRPr="004D4FD7">
              <w:rPr>
                <w:rFonts w:ascii="Times New Roman" w:eastAsia="Times New Roman" w:hAnsi="Times New Roman" w:cs="Times New Roman"/>
                <w:i/>
                <w:color w:val="000000"/>
              </w:rPr>
              <w:t>p</w:t>
            </w:r>
            <w:r w:rsidRPr="004D4FD7">
              <w:rPr>
                <w:rFonts w:ascii="Times New Roman" w:eastAsia="Times New Roman" w:hAnsi="Times New Roman" w:cs="Times New Roman"/>
                <w:color w:val="000000"/>
              </w:rPr>
              <w:t>&lt;.01</w:t>
            </w:r>
          </w:p>
        </w:tc>
      </w:tr>
    </w:tbl>
    <w:p w14:paraId="4FDCF61B" w14:textId="77777777" w:rsidR="004013A1" w:rsidRDefault="004013A1" w:rsidP="004013A1">
      <w:pPr>
        <w:rPr>
          <w:rFonts w:ascii="Times New Roman" w:hAnsi="Times New Roman" w:cs="Times New Roman"/>
        </w:rPr>
      </w:pPr>
      <w:r>
        <w:rPr>
          <w:rFonts w:ascii="Times New Roman" w:hAnsi="Times New Roman" w:cs="Times New Roman"/>
        </w:rPr>
        <w:br w:type="page"/>
      </w:r>
    </w:p>
    <w:p w14:paraId="6ADA3AF4" w14:textId="77777777" w:rsidR="004013A1" w:rsidRDefault="004013A1" w:rsidP="004013A1">
      <w:pPr>
        <w:rPr>
          <w:rFonts w:ascii="Times New Roman" w:hAnsi="Times New Roman" w:cs="Times New Roman"/>
        </w:rPr>
      </w:pPr>
    </w:p>
    <w:p w14:paraId="511497FA" w14:textId="77777777" w:rsidR="004013A1" w:rsidRDefault="004013A1" w:rsidP="004013A1">
      <w:pPr>
        <w:spacing w:line="480" w:lineRule="auto"/>
      </w:pPr>
      <w:r w:rsidRPr="004666E9">
        <w:rPr>
          <w:noProof/>
        </w:rPr>
        <w:drawing>
          <wp:inline distT="0" distB="0" distL="0" distR="0" wp14:anchorId="66175F56" wp14:editId="29B163E6">
            <wp:extent cx="5486400" cy="3829685"/>
            <wp:effectExtent l="0" t="0" r="0" b="571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486400" cy="3829685"/>
                    </a:xfrm>
                    <a:prstGeom prst="rect">
                      <a:avLst/>
                    </a:prstGeom>
                  </pic:spPr>
                </pic:pic>
              </a:graphicData>
            </a:graphic>
          </wp:inline>
        </w:drawing>
      </w:r>
    </w:p>
    <w:p w14:paraId="1E173D0C" w14:textId="77777777" w:rsidR="004013A1" w:rsidRDefault="004013A1" w:rsidP="004013A1">
      <w:r>
        <w:br w:type="page"/>
      </w:r>
    </w:p>
    <w:p w14:paraId="7C8DA60F" w14:textId="77777777" w:rsidR="004013A1" w:rsidRDefault="004013A1" w:rsidP="004013A1">
      <w:pPr>
        <w:spacing w:line="480" w:lineRule="auto"/>
      </w:pPr>
    </w:p>
    <w:p w14:paraId="61289033" w14:textId="77777777" w:rsidR="004013A1" w:rsidRDefault="004013A1" w:rsidP="004013A1">
      <w:pPr>
        <w:spacing w:line="480" w:lineRule="auto"/>
      </w:pPr>
      <w:r w:rsidRPr="004666E9">
        <w:rPr>
          <w:noProof/>
        </w:rPr>
        <w:drawing>
          <wp:inline distT="0" distB="0" distL="0" distR="0" wp14:anchorId="1552397C" wp14:editId="0E74161A">
            <wp:extent cx="5581650" cy="2127250"/>
            <wp:effectExtent l="0" t="0" r="635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1736" b="43316"/>
                    <a:stretch/>
                  </pic:blipFill>
                  <pic:spPr bwMode="auto">
                    <a:xfrm>
                      <a:off x="0" y="0"/>
                      <a:ext cx="5581650" cy="2127250"/>
                    </a:xfrm>
                    <a:prstGeom prst="rect">
                      <a:avLst/>
                    </a:prstGeom>
                    <a:ln>
                      <a:noFill/>
                    </a:ln>
                    <a:extLst>
                      <a:ext uri="{53640926-AAD7-44d8-BBD7-CCE9431645EC}">
                        <a14:shadowObscured xmlns:a14="http://schemas.microsoft.com/office/drawing/2010/main"/>
                      </a:ext>
                    </a:extLst>
                  </pic:spPr>
                </pic:pic>
              </a:graphicData>
            </a:graphic>
          </wp:inline>
        </w:drawing>
      </w:r>
    </w:p>
    <w:p w14:paraId="6C30CD04" w14:textId="77777777" w:rsidR="004013A1" w:rsidRDefault="004013A1" w:rsidP="004013A1">
      <w:r>
        <w:br w:type="page"/>
      </w:r>
    </w:p>
    <w:p w14:paraId="27360026" w14:textId="77777777" w:rsidR="004013A1" w:rsidRDefault="004013A1" w:rsidP="004013A1">
      <w:pPr>
        <w:spacing w:line="480" w:lineRule="auto"/>
      </w:pPr>
    </w:p>
    <w:p w14:paraId="5DB088A5" w14:textId="77777777" w:rsidR="004013A1" w:rsidRDefault="004013A1" w:rsidP="004013A1">
      <w:pPr>
        <w:spacing w:line="480" w:lineRule="auto"/>
      </w:pPr>
      <w:r w:rsidRPr="00B2269E">
        <w:rPr>
          <w:rFonts w:ascii="Times New Roman" w:hAnsi="Times New Roman" w:cs="Times New Roman"/>
          <w:noProof/>
        </w:rPr>
        <w:t xml:space="preserve"> </w:t>
      </w:r>
      <w:r w:rsidRPr="00B2269E">
        <w:rPr>
          <w:noProof/>
        </w:rPr>
        <w:drawing>
          <wp:inline distT="0" distB="0" distL="0" distR="0" wp14:anchorId="1680A4EF" wp14:editId="60443538">
            <wp:extent cx="5486400" cy="3818255"/>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5486400" cy="3818255"/>
                    </a:xfrm>
                    <a:prstGeom prst="rect">
                      <a:avLst/>
                    </a:prstGeom>
                  </pic:spPr>
                </pic:pic>
              </a:graphicData>
            </a:graphic>
          </wp:inline>
        </w:drawing>
      </w:r>
    </w:p>
    <w:p w14:paraId="58770FC9" w14:textId="77777777" w:rsidR="004013A1" w:rsidRDefault="004013A1" w:rsidP="004013A1">
      <w:r>
        <w:br w:type="page"/>
      </w:r>
    </w:p>
    <w:p w14:paraId="6AA576CC" w14:textId="77777777" w:rsidR="004013A1" w:rsidRDefault="004013A1" w:rsidP="004013A1">
      <w:pPr>
        <w:spacing w:line="480" w:lineRule="auto"/>
      </w:pPr>
    </w:p>
    <w:p w14:paraId="68CB55B6" w14:textId="77777777" w:rsidR="004013A1" w:rsidRDefault="004013A1" w:rsidP="004013A1">
      <w:pPr>
        <w:spacing w:line="480" w:lineRule="auto"/>
      </w:pPr>
      <w:r w:rsidRPr="00B2269E">
        <w:rPr>
          <w:rFonts w:ascii="Times New Roman" w:hAnsi="Times New Roman" w:cs="Times New Roman"/>
          <w:noProof/>
        </w:rPr>
        <w:t xml:space="preserve"> </w:t>
      </w:r>
      <w:r w:rsidRPr="00B2269E">
        <w:rPr>
          <w:noProof/>
        </w:rPr>
        <w:drawing>
          <wp:inline distT="0" distB="0" distL="0" distR="0" wp14:anchorId="33BAA1BA" wp14:editId="19DB2421">
            <wp:extent cx="5486400" cy="3761105"/>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486400" cy="3761105"/>
                    </a:xfrm>
                    <a:prstGeom prst="rect">
                      <a:avLst/>
                    </a:prstGeom>
                  </pic:spPr>
                </pic:pic>
              </a:graphicData>
            </a:graphic>
          </wp:inline>
        </w:drawing>
      </w:r>
    </w:p>
    <w:p w14:paraId="5BA40CA5" w14:textId="77777777" w:rsidR="004013A1" w:rsidRDefault="004013A1" w:rsidP="004013A1">
      <w:r>
        <w:br w:type="page"/>
      </w:r>
    </w:p>
    <w:p w14:paraId="3F85F480" w14:textId="77777777" w:rsidR="004013A1" w:rsidRDefault="004013A1" w:rsidP="004013A1">
      <w:pPr>
        <w:spacing w:line="480" w:lineRule="auto"/>
      </w:pPr>
    </w:p>
    <w:p w14:paraId="1101B52F" w14:textId="77777777" w:rsidR="004013A1" w:rsidRDefault="004013A1" w:rsidP="004013A1">
      <w:pPr>
        <w:rPr>
          <w:rFonts w:ascii="Times New Roman" w:hAnsi="Times New Roman" w:cs="Times New Roman"/>
          <w:noProof/>
        </w:rPr>
      </w:pPr>
      <w:r w:rsidRPr="00C20C00">
        <w:rPr>
          <w:rFonts w:ascii="Times New Roman" w:hAnsi="Times New Roman" w:cs="Times New Roman"/>
          <w:noProof/>
        </w:rPr>
        <w:t xml:space="preserve"> </w:t>
      </w:r>
      <w:r w:rsidRPr="003B4866">
        <w:rPr>
          <w:rFonts w:ascii="Times New Roman" w:hAnsi="Times New Roman" w:cs="Times New Roman"/>
          <w:noProof/>
          <w:sz w:val="4"/>
          <w:szCs w:val="4"/>
        </w:rPr>
        <w:drawing>
          <wp:inline distT="0" distB="0" distL="0" distR="0" wp14:anchorId="0705CB60" wp14:editId="0457DCFF">
            <wp:extent cx="5486400" cy="3772535"/>
            <wp:effectExtent l="0" t="0" r="0" b="12065"/>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1"/>
                    <a:stretch>
                      <a:fillRect/>
                    </a:stretch>
                  </pic:blipFill>
                  <pic:spPr>
                    <a:xfrm>
                      <a:off x="0" y="0"/>
                      <a:ext cx="5486400" cy="3772535"/>
                    </a:xfrm>
                    <a:prstGeom prst="rect">
                      <a:avLst/>
                    </a:prstGeom>
                  </pic:spPr>
                </pic:pic>
              </a:graphicData>
            </a:graphic>
          </wp:inline>
        </w:drawing>
      </w:r>
    </w:p>
    <w:p w14:paraId="09908805" w14:textId="77777777" w:rsidR="004013A1" w:rsidRDefault="004013A1" w:rsidP="004013A1">
      <w:pPr>
        <w:rPr>
          <w:rFonts w:ascii="Times New Roman" w:hAnsi="Times New Roman" w:cs="Times New Roman"/>
          <w:noProof/>
        </w:rPr>
      </w:pPr>
      <w:r>
        <w:rPr>
          <w:rFonts w:ascii="Times New Roman" w:hAnsi="Times New Roman" w:cs="Times New Roman"/>
          <w:noProof/>
        </w:rPr>
        <w:br w:type="page"/>
      </w:r>
    </w:p>
    <w:p w14:paraId="08BEE749" w14:textId="77777777" w:rsidR="004013A1" w:rsidRPr="005C49A0" w:rsidRDefault="004013A1" w:rsidP="004013A1">
      <w:pPr>
        <w:rPr>
          <w:rFonts w:ascii="Times New Roman" w:hAnsi="Times New Roman" w:cs="Times New Roman"/>
          <w:sz w:val="4"/>
          <w:szCs w:val="4"/>
        </w:rPr>
      </w:pPr>
    </w:p>
    <w:p w14:paraId="1EBB893A" w14:textId="77777777" w:rsidR="004013A1" w:rsidRPr="005C49A0" w:rsidRDefault="004013A1" w:rsidP="004013A1">
      <w:pPr>
        <w:rPr>
          <w:rFonts w:ascii="Times New Roman" w:hAnsi="Times New Roman" w:cs="Times New Roman"/>
          <w:sz w:val="4"/>
          <w:szCs w:val="4"/>
        </w:rPr>
      </w:pPr>
    </w:p>
    <w:p w14:paraId="1B8C4845" w14:textId="77777777" w:rsidR="004013A1" w:rsidRPr="005C49A0" w:rsidRDefault="004013A1" w:rsidP="004013A1">
      <w:pPr>
        <w:rPr>
          <w:rFonts w:ascii="Times New Roman" w:hAnsi="Times New Roman" w:cs="Times New Roman"/>
          <w:sz w:val="4"/>
          <w:szCs w:val="4"/>
        </w:rPr>
      </w:pPr>
    </w:p>
    <w:p w14:paraId="6FBD3C81" w14:textId="77777777" w:rsidR="004013A1" w:rsidRPr="005C49A0" w:rsidRDefault="004013A1" w:rsidP="004013A1">
      <w:pPr>
        <w:rPr>
          <w:rFonts w:ascii="Times New Roman" w:hAnsi="Times New Roman" w:cs="Times New Roman"/>
          <w:sz w:val="4"/>
          <w:szCs w:val="4"/>
        </w:rPr>
      </w:pPr>
    </w:p>
    <w:p w14:paraId="49C71EF8" w14:textId="77777777" w:rsidR="004013A1" w:rsidRPr="005C49A0" w:rsidRDefault="004013A1" w:rsidP="004013A1">
      <w:pPr>
        <w:rPr>
          <w:rFonts w:ascii="Times New Roman" w:hAnsi="Times New Roman" w:cs="Times New Roman"/>
          <w:sz w:val="4"/>
          <w:szCs w:val="4"/>
        </w:rPr>
      </w:pPr>
    </w:p>
    <w:p w14:paraId="76FBDE8A" w14:textId="77777777" w:rsidR="004013A1" w:rsidRPr="005C49A0" w:rsidRDefault="004013A1" w:rsidP="004013A1">
      <w:pPr>
        <w:rPr>
          <w:rFonts w:ascii="Times New Roman" w:hAnsi="Times New Roman" w:cs="Times New Roman"/>
          <w:sz w:val="4"/>
          <w:szCs w:val="4"/>
        </w:rPr>
      </w:pPr>
    </w:p>
    <w:p w14:paraId="37955B28" w14:textId="77777777" w:rsidR="004013A1" w:rsidRPr="005C49A0" w:rsidRDefault="004013A1" w:rsidP="004013A1">
      <w:pPr>
        <w:rPr>
          <w:rFonts w:ascii="Times New Roman" w:hAnsi="Times New Roman" w:cs="Times New Roman"/>
          <w:sz w:val="4"/>
          <w:szCs w:val="4"/>
        </w:rPr>
      </w:pPr>
    </w:p>
    <w:p w14:paraId="77D6CD4B" w14:textId="77777777" w:rsidR="004013A1" w:rsidRPr="005C49A0" w:rsidRDefault="004013A1" w:rsidP="004013A1">
      <w:pPr>
        <w:rPr>
          <w:rFonts w:ascii="Times New Roman" w:hAnsi="Times New Roman" w:cs="Times New Roman"/>
          <w:sz w:val="4"/>
          <w:szCs w:val="4"/>
        </w:rPr>
      </w:pPr>
    </w:p>
    <w:p w14:paraId="068EA631" w14:textId="77777777" w:rsidR="004013A1" w:rsidRPr="005C49A0" w:rsidRDefault="004013A1" w:rsidP="004013A1">
      <w:pPr>
        <w:rPr>
          <w:rFonts w:ascii="Times New Roman" w:hAnsi="Times New Roman" w:cs="Times New Roman"/>
          <w:sz w:val="4"/>
          <w:szCs w:val="4"/>
        </w:rPr>
      </w:pPr>
    </w:p>
    <w:p w14:paraId="298A67AA" w14:textId="77777777" w:rsidR="004013A1" w:rsidRDefault="004013A1" w:rsidP="004013A1">
      <w:pPr>
        <w:rPr>
          <w:rFonts w:ascii="Times New Roman" w:hAnsi="Times New Roman" w:cs="Times New Roman"/>
        </w:rPr>
      </w:pPr>
    </w:p>
    <w:p w14:paraId="3DB7B1A2" w14:textId="77777777" w:rsidR="004013A1" w:rsidRPr="00275F7A" w:rsidRDefault="004013A1" w:rsidP="004013A1">
      <w:pPr>
        <w:rPr>
          <w:rFonts w:ascii="Times New Roman" w:hAnsi="Times New Roman" w:cs="Times New Roman"/>
        </w:rPr>
      </w:pPr>
      <w:r w:rsidRPr="00D22A74">
        <w:rPr>
          <w:rFonts w:ascii="Times New Roman" w:hAnsi="Times New Roman" w:cs="Times New Roman"/>
          <w:noProof/>
        </w:rPr>
        <w:drawing>
          <wp:inline distT="0" distB="0" distL="0" distR="0" wp14:anchorId="39C5E22D" wp14:editId="7782B362">
            <wp:extent cx="4572000" cy="3432279"/>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464" cy="3432627"/>
                    </a:xfrm>
                    <a:prstGeom prst="rect">
                      <a:avLst/>
                    </a:prstGeom>
                    <a:noFill/>
                    <a:ln>
                      <a:noFill/>
                    </a:ln>
                  </pic:spPr>
                </pic:pic>
              </a:graphicData>
            </a:graphic>
          </wp:inline>
        </w:drawing>
      </w:r>
    </w:p>
    <w:p w14:paraId="4B267BA0" w14:textId="77777777" w:rsidR="004013A1" w:rsidRPr="005B02D0" w:rsidRDefault="004013A1" w:rsidP="004013A1"/>
    <w:p w14:paraId="1E6198EC" w14:textId="77777777" w:rsidR="004013A1" w:rsidRDefault="004013A1" w:rsidP="004013A1"/>
    <w:p w14:paraId="21344983" w14:textId="77777777" w:rsidR="004013A1" w:rsidRPr="00275F7A" w:rsidRDefault="004013A1" w:rsidP="004013A1">
      <w:pPr>
        <w:rPr>
          <w:rFonts w:ascii="Times New Roman" w:hAnsi="Times New Roman" w:cs="Times New Roman"/>
        </w:rPr>
      </w:pPr>
    </w:p>
    <w:p w14:paraId="6DF4EDC5" w14:textId="77777777" w:rsidR="007F37D1" w:rsidRDefault="00D20E74"/>
    <w:sectPr w:rsidR="007F37D1" w:rsidSect="009F5D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A1"/>
    <w:rsid w:val="003736B0"/>
    <w:rsid w:val="004013A1"/>
    <w:rsid w:val="005B02D0"/>
    <w:rsid w:val="00D2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4AF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A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3A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A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3A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emf"/><Relationship Id="rId8" Type="http://schemas.openxmlformats.org/officeDocument/2006/relationships/image" Target="media/image4.png"/><Relationship Id="rId13" Type="http://schemas.openxmlformats.org/officeDocument/2006/relationships/fontTable" Target="fontTable.xml"/><Relationship Id="rId10" Type="http://schemas.openxmlformats.org/officeDocument/2006/relationships/image" Target="media/image6.png"/><Relationship Id="rId5" Type="http://schemas.openxmlformats.org/officeDocument/2006/relationships/image" Target="media/image1.emf"/><Relationship Id="rId12" Type="http://schemas.openxmlformats.org/officeDocument/2006/relationships/image" Target="media/image8.emf"/><Relationship Id="rId2" Type="http://schemas.microsoft.com/office/2007/relationships/stylesWithEffects" Target="stylesWithEffects.xml"/><Relationship Id="rId9" Type="http://schemas.openxmlformats.org/officeDocument/2006/relationships/image" Target="media/image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2023</Words>
  <Characters>11537</Characters>
  <Application>Microsoft Macintosh Word</Application>
  <DocSecurity>0</DocSecurity>
  <Lines>96</Lines>
  <Paragraphs>27</Paragraphs>
  <ScaleCrop>false</ScaleCrop>
  <Company>University of Michigan</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Potter</dc:creator>
  <cp:keywords/>
  <dc:description/>
  <cp:lastModifiedBy>Philip Potter</cp:lastModifiedBy>
  <cp:revision>3</cp:revision>
  <dcterms:created xsi:type="dcterms:W3CDTF">2013-07-15T00:53:00Z</dcterms:created>
  <dcterms:modified xsi:type="dcterms:W3CDTF">2013-07-15T01:10:00Z</dcterms:modified>
</cp:coreProperties>
</file>